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03" w:rsidRPr="0057536F" w:rsidRDefault="00A72603" w:rsidP="00A72603">
      <w:pPr>
        <w:pStyle w:val="a3"/>
        <w:snapToGrid w:val="0"/>
        <w:spacing w:line="288" w:lineRule="auto"/>
        <w:jc w:val="center"/>
        <w:rPr>
          <w:rFonts w:ascii="黑体" w:eastAsia="黑体" w:hint="eastAsia"/>
          <w:b/>
          <w:bCs/>
          <w:sz w:val="32"/>
          <w:szCs w:val="32"/>
        </w:rPr>
      </w:pPr>
      <w:r w:rsidRPr="0057536F">
        <w:rPr>
          <w:rFonts w:ascii="黑体" w:eastAsia="黑体" w:hint="eastAsia"/>
          <w:b/>
          <w:bCs/>
          <w:sz w:val="32"/>
          <w:szCs w:val="32"/>
        </w:rPr>
        <w:t>上海建桥学院</w:t>
      </w:r>
    </w:p>
    <w:p w:rsidR="00A72603" w:rsidRPr="0057536F" w:rsidRDefault="00A72603" w:rsidP="00A72603">
      <w:pPr>
        <w:pStyle w:val="a3"/>
        <w:snapToGrid w:val="0"/>
        <w:spacing w:line="288" w:lineRule="auto"/>
        <w:jc w:val="center"/>
        <w:rPr>
          <w:rFonts w:ascii="黑体" w:eastAsia="黑体" w:hint="eastAsia"/>
          <w:b/>
          <w:bCs/>
          <w:sz w:val="32"/>
          <w:szCs w:val="32"/>
        </w:rPr>
      </w:pPr>
      <w:r w:rsidRPr="0057536F">
        <w:rPr>
          <w:rFonts w:ascii="黑体" w:eastAsia="黑体" w:hint="eastAsia"/>
          <w:b/>
          <w:bCs/>
          <w:sz w:val="32"/>
          <w:szCs w:val="32"/>
        </w:rPr>
        <w:t>本科毕业设计（论文）学术不端行为检测实施办法</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根据《教育部关于严肃处理高等学校学术不端行为的通知》（教社科〔2009〕3号）、教育部《学位论文作假行为处理办法》（第34号令）文件要求，为进一步提高我</w:t>
      </w:r>
      <w:proofErr w:type="gramStart"/>
      <w:r w:rsidRPr="0057536F">
        <w:rPr>
          <w:rFonts w:ascii="宋体" w:hAnsi="宋体" w:hint="eastAsia"/>
          <w:szCs w:val="21"/>
        </w:rPr>
        <w:t>校本科</w:t>
      </w:r>
      <w:proofErr w:type="gramEnd"/>
      <w:r w:rsidRPr="0057536F">
        <w:rPr>
          <w:rFonts w:ascii="宋体" w:hAnsi="宋体" w:hint="eastAsia"/>
          <w:szCs w:val="21"/>
        </w:rPr>
        <w:t>毕业设计（论文）的质量，规范本科毕业设计（论文）的管理，防止抄袭行为的发生，营造诚信的学术氛围，加强学术道德和学风建设，结合我</w:t>
      </w:r>
      <w:proofErr w:type="gramStart"/>
      <w:r w:rsidRPr="0057536F">
        <w:rPr>
          <w:rFonts w:ascii="宋体" w:hAnsi="宋体" w:hint="eastAsia"/>
          <w:szCs w:val="21"/>
        </w:rPr>
        <w:t>校本科</w:t>
      </w:r>
      <w:proofErr w:type="gramEnd"/>
      <w:r w:rsidRPr="0057536F">
        <w:rPr>
          <w:rFonts w:ascii="宋体" w:hAnsi="宋体" w:hint="eastAsia"/>
          <w:szCs w:val="21"/>
        </w:rPr>
        <w:t>毕业设计（论文）的实际情况，特制订本实施办法。</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一、检测对象</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全校在籍在册的应届本科毕业生。</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二、检测方式</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1．按每个专业20%的比例进行随机抽检，抽取样本时要本着公平、公正、公开的原则进行，并且保证每位指导教师均有学生被抽检。</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2．各学院推荐的参评校级优秀毕业设计（论文）必须进行检测。</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三、检测标准</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检测采用同方知网（北京）技术有限公司“大学生论文抄袭检测系统”（以下简称系统）对本科生毕业论文进行检测。按文字复制比N为检测值。</w:t>
      </w:r>
    </w:p>
    <w:tbl>
      <w:tblPr>
        <w:tblW w:w="8455" w:type="dxa"/>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4"/>
        <w:gridCol w:w="4151"/>
      </w:tblGrid>
      <w:tr w:rsidR="00A72603" w:rsidTr="00622E95">
        <w:tblPrEx>
          <w:tblCellMar>
            <w:top w:w="0" w:type="dxa"/>
            <w:bottom w:w="0" w:type="dxa"/>
          </w:tblCellMar>
        </w:tblPrEx>
        <w:trPr>
          <w:cantSplit/>
          <w:trHeight w:val="351"/>
          <w:jc w:val="center"/>
        </w:trPr>
        <w:tc>
          <w:tcPr>
            <w:tcW w:w="4304"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检测结果（文字复制比N）</w:t>
            </w:r>
          </w:p>
        </w:tc>
        <w:tc>
          <w:tcPr>
            <w:tcW w:w="4151"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性质初步认定</w:t>
            </w:r>
          </w:p>
        </w:tc>
      </w:tr>
      <w:tr w:rsidR="00A72603" w:rsidTr="00622E95">
        <w:tblPrEx>
          <w:tblCellMar>
            <w:top w:w="0" w:type="dxa"/>
            <w:bottom w:w="0" w:type="dxa"/>
          </w:tblCellMar>
        </w:tblPrEx>
        <w:trPr>
          <w:cantSplit/>
          <w:trHeight w:val="70"/>
          <w:jc w:val="center"/>
        </w:trPr>
        <w:tc>
          <w:tcPr>
            <w:tcW w:w="4304"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N &lt;30%</w:t>
            </w:r>
          </w:p>
        </w:tc>
        <w:tc>
          <w:tcPr>
            <w:tcW w:w="4151"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通过检测</w:t>
            </w:r>
          </w:p>
        </w:tc>
      </w:tr>
      <w:tr w:rsidR="00A72603" w:rsidTr="00622E95">
        <w:tblPrEx>
          <w:tblCellMar>
            <w:top w:w="0" w:type="dxa"/>
            <w:bottom w:w="0" w:type="dxa"/>
          </w:tblCellMar>
        </w:tblPrEx>
        <w:trPr>
          <w:cantSplit/>
          <w:trHeight w:val="410"/>
          <w:jc w:val="center"/>
        </w:trPr>
        <w:tc>
          <w:tcPr>
            <w:tcW w:w="4304"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30﹪≤ N &lt;50﹪</w:t>
            </w:r>
          </w:p>
        </w:tc>
        <w:tc>
          <w:tcPr>
            <w:tcW w:w="4151"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疑似有抄袭行为</w:t>
            </w:r>
          </w:p>
        </w:tc>
      </w:tr>
      <w:tr w:rsidR="00A72603" w:rsidTr="00622E95">
        <w:tblPrEx>
          <w:tblCellMar>
            <w:top w:w="0" w:type="dxa"/>
            <w:bottom w:w="0" w:type="dxa"/>
          </w:tblCellMar>
        </w:tblPrEx>
        <w:trPr>
          <w:cantSplit/>
          <w:trHeight w:val="429"/>
          <w:jc w:val="center"/>
        </w:trPr>
        <w:tc>
          <w:tcPr>
            <w:tcW w:w="4304"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50﹪≤ N ≤70﹪</w:t>
            </w:r>
          </w:p>
        </w:tc>
        <w:tc>
          <w:tcPr>
            <w:tcW w:w="4151"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疑似有较严重抄袭行为</w:t>
            </w:r>
          </w:p>
        </w:tc>
      </w:tr>
      <w:tr w:rsidR="00A72603" w:rsidTr="00622E95">
        <w:tblPrEx>
          <w:tblCellMar>
            <w:top w:w="0" w:type="dxa"/>
            <w:bottom w:w="0" w:type="dxa"/>
          </w:tblCellMar>
        </w:tblPrEx>
        <w:trPr>
          <w:cantSplit/>
          <w:trHeight w:val="393"/>
          <w:jc w:val="center"/>
        </w:trPr>
        <w:tc>
          <w:tcPr>
            <w:tcW w:w="4304"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N &gt;70﹪</w:t>
            </w:r>
          </w:p>
        </w:tc>
        <w:tc>
          <w:tcPr>
            <w:tcW w:w="4151" w:type="dxa"/>
            <w:vAlign w:val="center"/>
          </w:tcPr>
          <w:p w:rsidR="00A72603" w:rsidRPr="0057536F" w:rsidRDefault="00A72603" w:rsidP="00622E95">
            <w:pPr>
              <w:spacing w:line="400" w:lineRule="exact"/>
              <w:ind w:firstLineChars="200" w:firstLine="420"/>
              <w:rPr>
                <w:rFonts w:ascii="宋体" w:hAnsi="宋体" w:hint="eastAsia"/>
                <w:szCs w:val="21"/>
              </w:rPr>
            </w:pPr>
            <w:r w:rsidRPr="0057536F">
              <w:rPr>
                <w:rFonts w:ascii="宋体" w:hAnsi="宋体" w:hint="eastAsia"/>
                <w:szCs w:val="21"/>
              </w:rPr>
              <w:t>疑似有严重抄袭行为</w:t>
            </w:r>
          </w:p>
        </w:tc>
      </w:tr>
    </w:tbl>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各学院可依据本专业学科特点，制定有针对性的检测标准。</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四、检测程序</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1．教务处在第八学期第8周分专业抽取学生名单，并在教务处网站上公布。</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2．每位被抽检学生必须提交论文电子稿（word文档），内容包括从摘要到结论全部（不含封面、目录、参考文献、附录等非正文部分）。电子文档文件</w:t>
      </w:r>
      <w:proofErr w:type="gramStart"/>
      <w:r w:rsidRPr="0057536F">
        <w:rPr>
          <w:rFonts w:ascii="宋体" w:hAnsi="宋体" w:hint="eastAsia"/>
          <w:szCs w:val="21"/>
        </w:rPr>
        <w:t>名统一</w:t>
      </w:r>
      <w:proofErr w:type="gramEnd"/>
      <w:r w:rsidRPr="0057536F">
        <w:rPr>
          <w:rFonts w:ascii="宋体" w:hAnsi="宋体" w:hint="eastAsia"/>
          <w:szCs w:val="21"/>
        </w:rPr>
        <w:t>为“学号-姓名-论文题目.doc”。以专业设立文件夹，以学院制作压缩包提交。</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例如：机电学院，汽车服务工程专业，09B09025108，赵菁，</w:t>
      </w:r>
      <w:proofErr w:type="gramStart"/>
      <w:r w:rsidRPr="0057536F">
        <w:rPr>
          <w:rFonts w:ascii="宋体" w:hAnsi="宋体" w:hint="eastAsia"/>
          <w:szCs w:val="21"/>
        </w:rPr>
        <w:t>百联斯</w:t>
      </w:r>
      <w:proofErr w:type="gramEnd"/>
      <w:r w:rsidRPr="0057536F">
        <w:rPr>
          <w:rFonts w:ascii="宋体" w:hAnsi="宋体" w:hint="eastAsia"/>
          <w:szCs w:val="21"/>
        </w:rPr>
        <w:t>柯达4s店销售流程管理调查研究，则word文档电子稿文件名：09B09025108-赵菁-</w:t>
      </w:r>
      <w:proofErr w:type="gramStart"/>
      <w:r w:rsidRPr="0057536F">
        <w:rPr>
          <w:rFonts w:ascii="宋体" w:hAnsi="宋体" w:hint="eastAsia"/>
          <w:szCs w:val="21"/>
        </w:rPr>
        <w:t>百联斯</w:t>
      </w:r>
      <w:proofErr w:type="gramEnd"/>
      <w:r w:rsidRPr="0057536F">
        <w:rPr>
          <w:rFonts w:ascii="宋体" w:hAnsi="宋体" w:hint="eastAsia"/>
          <w:szCs w:val="21"/>
        </w:rPr>
        <w:t>柯达4s店销售流程管理调查研究.doc，文件夹名称：汽车服务工程，压缩包名称：机电学院。</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3．各学院按照教务处抽取的检测名单，在第八学期第10周将毕业论文电子稿提交教务处。</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4．教务处在5个工作日内将检测结果以《毕业设计（论文）检测报告单》形式反馈给各学院。教务处网站上也同时公布检测结果。需复检的毕业设计（论文）电子稿也由各学院教学秘书收齐后集中办理。</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lastRenderedPageBreak/>
        <w:t>五、检测结果处理</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各学院根据检测结果，按以下标准进行处理：</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1．文字复制比在30%以下（含30%）的学生，视为通过检测，但仍需在导师指导下对毕业设计（论文）作进一步完善，学生可参加毕业答辩。</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2．文字复制比在30%以上的学生，必须根据检测结果进行修改，由导师负责把关。修改后的论文须再次进行复检（复检费用自理），复检后的文字复制比降至30%以下者，视为通过检测，可以参加毕业答辩；</w:t>
      </w:r>
      <w:proofErr w:type="gramStart"/>
      <w:r w:rsidRPr="0057536F">
        <w:rPr>
          <w:rFonts w:ascii="宋体" w:hAnsi="宋体" w:hint="eastAsia"/>
          <w:szCs w:val="21"/>
        </w:rPr>
        <w:t>若文字</w:t>
      </w:r>
      <w:proofErr w:type="gramEnd"/>
      <w:r w:rsidRPr="0057536F">
        <w:rPr>
          <w:rFonts w:ascii="宋体" w:hAnsi="宋体" w:hint="eastAsia"/>
          <w:szCs w:val="21"/>
        </w:rPr>
        <w:t>复制比仍在30%以上，则毕业设计重做,并延期到下一学期答辩。</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 xml:space="preserve">凡论文检测后作出的“论文修改后再次检测”、“延期答辩”决定，应由指导教师和学生本人在《上海建桥学院本科毕业设计（论文）学术不端行为检测处理决定书》上签字确认，该《决定书》由学院保存，《处理汇总表》报教务处备案。 </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如果对处理决定存在异议，允许当事人向教务处提出申诉。教务处接到申诉后应即刻组织3-5人的专家组，对论文进行复检，并给出判断与鉴定意见。</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六、其他</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1. 大学生论文抄袭检测结果只为学院毕业设计（论文）答辩工作领导小组评判毕业论文是否存在抄袭行为以及抄袭程度作参考，是否达到或符合本科毕业论文学术要求，仍由各学院毕业设计（论文）工作领导小组决定。</w:t>
      </w:r>
    </w:p>
    <w:p w:rsidR="00A72603" w:rsidRPr="0057536F" w:rsidRDefault="00A72603" w:rsidP="00A72603">
      <w:pPr>
        <w:adjustRightInd w:val="0"/>
        <w:snapToGrid w:val="0"/>
        <w:spacing w:line="288" w:lineRule="auto"/>
        <w:ind w:firstLineChars="200" w:firstLine="420"/>
        <w:jc w:val="left"/>
        <w:rPr>
          <w:rFonts w:ascii="宋体" w:hAnsi="宋体" w:hint="eastAsia"/>
          <w:szCs w:val="21"/>
        </w:rPr>
      </w:pPr>
      <w:r w:rsidRPr="0057536F">
        <w:rPr>
          <w:rFonts w:ascii="宋体" w:hAnsi="宋体" w:hint="eastAsia"/>
          <w:szCs w:val="21"/>
        </w:rPr>
        <w:t>2. 检测结果≥30%的，取消优秀论文参评资格。</w:t>
      </w:r>
    </w:p>
    <w:p w:rsidR="00A72603" w:rsidRPr="0020746B" w:rsidRDefault="00A72603" w:rsidP="00A72603">
      <w:pPr>
        <w:adjustRightInd w:val="0"/>
        <w:snapToGrid w:val="0"/>
        <w:spacing w:beforeLines="50" w:afterLines="50" w:line="288" w:lineRule="auto"/>
        <w:ind w:firstLineChars="200" w:firstLine="480"/>
        <w:jc w:val="left"/>
        <w:rPr>
          <w:rFonts w:ascii="黑体" w:eastAsia="黑体" w:hAnsi="黑体" w:hint="eastAsia"/>
          <w:sz w:val="24"/>
        </w:rPr>
      </w:pPr>
      <w:r w:rsidRPr="0020746B">
        <w:rPr>
          <w:rFonts w:ascii="黑体" w:eastAsia="黑体" w:hAnsi="黑体" w:hint="eastAsia"/>
          <w:sz w:val="24"/>
        </w:rPr>
        <w:t>七、本办法由教务处负责解释，自2013届毕业生开始实施。</w:t>
      </w: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A72603" w:rsidRDefault="00A72603" w:rsidP="00A72603">
      <w:pPr>
        <w:spacing w:line="288" w:lineRule="auto"/>
        <w:jc w:val="left"/>
        <w:rPr>
          <w:rFonts w:ascii="宋体" w:hAnsi="宋体" w:hint="eastAsia"/>
          <w:szCs w:val="21"/>
        </w:rPr>
      </w:pPr>
    </w:p>
    <w:p w:rsidR="00103454" w:rsidRPr="00A72603" w:rsidRDefault="00103454"/>
    <w:sectPr w:rsidR="00103454" w:rsidRPr="00A72603"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603"/>
    <w:rsid w:val="00103454"/>
    <w:rsid w:val="00A72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72603"/>
    <w:rPr>
      <w:rFonts w:ascii="宋体" w:hAnsi="Courier New" w:cs="Courier New"/>
      <w:szCs w:val="21"/>
    </w:rPr>
  </w:style>
  <w:style w:type="character" w:customStyle="1" w:styleId="Char">
    <w:name w:val="纯文本 Char"/>
    <w:basedOn w:val="a0"/>
    <w:link w:val="a3"/>
    <w:rsid w:val="00A7260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Company>微软中国</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2013-06-25T01:59:00Z</dcterms:created>
  <dcterms:modified xsi:type="dcterms:W3CDTF">2013-06-25T01:59:00Z</dcterms:modified>
</cp:coreProperties>
</file>