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991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43"/>
        <w:gridCol w:w="1913"/>
        <w:gridCol w:w="1500"/>
        <w:gridCol w:w="1600"/>
        <w:gridCol w:w="1537"/>
        <w:gridCol w:w="1618"/>
      </w:tblGrid>
      <w:tr w:rsidR="000E7C14" w14:paraId="7AA38D52" w14:textId="77777777" w:rsidTr="003F5097">
        <w:trPr>
          <w:trHeight w:val="484"/>
        </w:trPr>
        <w:tc>
          <w:tcPr>
            <w:tcW w:w="1743" w:type="dxa"/>
            <w:tcBorders>
              <w:left w:val="nil"/>
              <w:bottom w:val="dotted" w:sz="2" w:space="0" w:color="000000"/>
            </w:tcBorders>
          </w:tcPr>
          <w:p w14:paraId="096297BC" w14:textId="77777777" w:rsidR="000E7C14" w:rsidRDefault="00000000" w:rsidP="003F5097">
            <w:pPr>
              <w:spacing w:before="129" w:line="219" w:lineRule="auto"/>
              <w:ind w:left="322"/>
              <w:jc w:val="center"/>
              <w:rPr>
                <w:rFonts w:ascii="黑体" w:eastAsia="黑体" w:hAnsi="黑体" w:cs="黑体" w:hint="eastAsia"/>
                <w:sz w:val="24"/>
                <w:szCs w:val="24"/>
              </w:rPr>
            </w:pPr>
            <w:r>
              <w:rPr>
                <w:rFonts w:ascii="黑体" w:eastAsia="黑体" w:hAnsi="黑体" w:cs="黑体"/>
                <w:spacing w:val="-2"/>
                <w:sz w:val="24"/>
                <w:szCs w:val="24"/>
              </w:rPr>
              <w:t>修订日</w:t>
            </w:r>
            <w:r>
              <w:rPr>
                <w:rFonts w:ascii="黑体" w:eastAsia="黑体" w:hAnsi="黑体" w:cs="黑体"/>
                <w:spacing w:val="-1"/>
                <w:sz w:val="24"/>
                <w:szCs w:val="24"/>
              </w:rPr>
              <w:t>期</w:t>
            </w:r>
          </w:p>
        </w:tc>
        <w:tc>
          <w:tcPr>
            <w:tcW w:w="1913" w:type="dxa"/>
            <w:tcBorders>
              <w:bottom w:val="dotted" w:sz="2" w:space="0" w:color="000000"/>
            </w:tcBorders>
          </w:tcPr>
          <w:p w14:paraId="0CE46F12" w14:textId="77777777" w:rsidR="000E7C14" w:rsidRDefault="00000000" w:rsidP="003F5097">
            <w:pPr>
              <w:spacing w:before="129" w:line="219" w:lineRule="auto"/>
              <w:ind w:left="443"/>
              <w:jc w:val="center"/>
              <w:rPr>
                <w:rFonts w:ascii="黑体" w:eastAsia="黑体" w:hAnsi="黑体" w:cs="黑体" w:hint="eastAsia"/>
                <w:sz w:val="24"/>
                <w:szCs w:val="24"/>
              </w:rPr>
            </w:pPr>
            <w:r>
              <w:rPr>
                <w:rFonts w:ascii="黑体" w:eastAsia="黑体" w:hAnsi="黑体" w:cs="黑体"/>
                <w:spacing w:val="-2"/>
                <w:sz w:val="24"/>
                <w:szCs w:val="24"/>
              </w:rPr>
              <w:t>修订章</w:t>
            </w:r>
            <w:r>
              <w:rPr>
                <w:rFonts w:ascii="黑体" w:eastAsia="黑体" w:hAnsi="黑体" w:cs="黑体"/>
                <w:spacing w:val="-1"/>
                <w:sz w:val="24"/>
                <w:szCs w:val="24"/>
              </w:rPr>
              <w:t>节</w:t>
            </w:r>
          </w:p>
        </w:tc>
        <w:tc>
          <w:tcPr>
            <w:tcW w:w="1500" w:type="dxa"/>
            <w:tcBorders>
              <w:bottom w:val="dotted" w:sz="2" w:space="0" w:color="000000"/>
            </w:tcBorders>
          </w:tcPr>
          <w:p w14:paraId="09AD269A" w14:textId="77777777" w:rsidR="000E7C14" w:rsidRDefault="00000000" w:rsidP="003F5097">
            <w:pPr>
              <w:spacing w:before="129" w:line="220" w:lineRule="auto"/>
              <w:ind w:left="270"/>
              <w:jc w:val="center"/>
              <w:rPr>
                <w:rFonts w:ascii="黑体" w:eastAsia="黑体" w:hAnsi="黑体" w:cs="黑体" w:hint="eastAsia"/>
                <w:sz w:val="24"/>
                <w:szCs w:val="24"/>
              </w:rPr>
            </w:pPr>
            <w:r>
              <w:rPr>
                <w:rFonts w:ascii="黑体" w:eastAsia="黑体" w:hAnsi="黑体" w:cs="黑体"/>
                <w:spacing w:val="-4"/>
                <w:sz w:val="24"/>
                <w:szCs w:val="24"/>
              </w:rPr>
              <w:t>页次</w:t>
            </w:r>
          </w:p>
        </w:tc>
        <w:tc>
          <w:tcPr>
            <w:tcW w:w="4755" w:type="dxa"/>
            <w:gridSpan w:val="3"/>
            <w:tcBorders>
              <w:bottom w:val="dotted" w:sz="2" w:space="0" w:color="000000"/>
              <w:right w:val="nil"/>
            </w:tcBorders>
          </w:tcPr>
          <w:p w14:paraId="6E473969" w14:textId="77777777" w:rsidR="000E7C14" w:rsidRDefault="00000000">
            <w:pPr>
              <w:spacing w:before="129" w:line="219" w:lineRule="auto"/>
              <w:ind w:left="2043"/>
              <w:rPr>
                <w:rFonts w:ascii="黑体" w:eastAsia="黑体" w:hAnsi="黑体" w:cs="黑体" w:hint="eastAsia"/>
                <w:sz w:val="24"/>
                <w:szCs w:val="24"/>
              </w:rPr>
            </w:pPr>
            <w:r>
              <w:rPr>
                <w:rFonts w:ascii="黑体" w:eastAsia="黑体" w:hAnsi="黑体" w:cs="黑体"/>
                <w:spacing w:val="-2"/>
                <w:sz w:val="24"/>
                <w:szCs w:val="24"/>
              </w:rPr>
              <w:t>修订</w:t>
            </w:r>
            <w:r>
              <w:rPr>
                <w:rFonts w:ascii="黑体" w:eastAsia="黑体" w:hAnsi="黑体" w:cs="黑体"/>
                <w:spacing w:val="-1"/>
                <w:sz w:val="24"/>
                <w:szCs w:val="24"/>
              </w:rPr>
              <w:t>内容摘要</w:t>
            </w:r>
          </w:p>
        </w:tc>
      </w:tr>
      <w:tr w:rsidR="000E7C14" w14:paraId="47296F07" w14:textId="77777777" w:rsidTr="003F5097">
        <w:trPr>
          <w:trHeight w:val="458"/>
        </w:trPr>
        <w:tc>
          <w:tcPr>
            <w:tcW w:w="1743" w:type="dxa"/>
            <w:tcBorders>
              <w:top w:val="dotted" w:sz="2" w:space="0" w:color="000000"/>
              <w:left w:val="nil"/>
            </w:tcBorders>
          </w:tcPr>
          <w:p w14:paraId="29EFCA68" w14:textId="77777777" w:rsidR="000E7C14" w:rsidRDefault="00000000">
            <w:pPr>
              <w:spacing w:before="153" w:line="179" w:lineRule="auto"/>
              <w:ind w:left="260"/>
              <w:rPr>
                <w:rFonts w:ascii="Calibri" w:eastAsia="Calibri" w:hAnsi="Calibri" w:cs="Calibri"/>
                <w:sz w:val="24"/>
                <w:szCs w:val="24"/>
              </w:rPr>
            </w:pPr>
            <w:r>
              <w:rPr>
                <w:rFonts w:ascii="Calibri" w:eastAsia="Calibri" w:hAnsi="Calibri" w:cs="Calibri"/>
                <w:spacing w:val="-2"/>
                <w:sz w:val="24"/>
                <w:szCs w:val="24"/>
              </w:rPr>
              <w:t>20</w:t>
            </w:r>
            <w:r>
              <w:rPr>
                <w:rFonts w:ascii="Calibri" w:eastAsia="Calibri" w:hAnsi="Calibri" w:cs="Calibri"/>
                <w:spacing w:val="-1"/>
                <w:sz w:val="24"/>
                <w:szCs w:val="24"/>
              </w:rPr>
              <w:t>22.11.10</w:t>
            </w:r>
          </w:p>
        </w:tc>
        <w:tc>
          <w:tcPr>
            <w:tcW w:w="1913" w:type="dxa"/>
            <w:tcBorders>
              <w:top w:val="dotted" w:sz="2" w:space="0" w:color="000000"/>
            </w:tcBorders>
          </w:tcPr>
          <w:p w14:paraId="033AE5AC" w14:textId="77777777" w:rsidR="000E7C14" w:rsidRDefault="00000000" w:rsidP="003F5097">
            <w:pPr>
              <w:spacing w:before="153" w:line="179" w:lineRule="auto"/>
              <w:ind w:left="776"/>
              <w:rPr>
                <w:rFonts w:ascii="Calibri" w:eastAsia="Calibri" w:hAnsi="Calibri" w:cs="Calibri"/>
                <w:sz w:val="24"/>
                <w:szCs w:val="24"/>
              </w:rPr>
            </w:pPr>
            <w:r>
              <w:rPr>
                <w:rFonts w:ascii="Calibri" w:eastAsia="Calibri" w:hAnsi="Calibri" w:cs="Calibri"/>
                <w:spacing w:val="-4"/>
                <w:sz w:val="24"/>
                <w:szCs w:val="24"/>
              </w:rPr>
              <w:t>3</w:t>
            </w:r>
            <w:r>
              <w:rPr>
                <w:rFonts w:ascii="Calibri" w:eastAsia="Calibri" w:hAnsi="Calibri" w:cs="Calibri"/>
                <w:spacing w:val="-2"/>
                <w:sz w:val="24"/>
                <w:szCs w:val="24"/>
              </w:rPr>
              <w:t>.1</w:t>
            </w:r>
          </w:p>
        </w:tc>
        <w:tc>
          <w:tcPr>
            <w:tcW w:w="1500" w:type="dxa"/>
            <w:tcBorders>
              <w:top w:val="dotted" w:sz="2" w:space="0" w:color="000000"/>
            </w:tcBorders>
          </w:tcPr>
          <w:p w14:paraId="6B84ED1F" w14:textId="77777777" w:rsidR="000E7C14" w:rsidRDefault="00000000">
            <w:pPr>
              <w:spacing w:before="153" w:line="179" w:lineRule="auto"/>
              <w:ind w:left="445"/>
              <w:jc w:val="center"/>
              <w:rPr>
                <w:rFonts w:ascii="Calibri" w:eastAsia="Calibri" w:hAnsi="Calibri" w:cs="Calibri"/>
                <w:sz w:val="24"/>
                <w:szCs w:val="24"/>
              </w:rPr>
            </w:pPr>
            <w:r>
              <w:rPr>
                <w:rFonts w:ascii="Calibri" w:eastAsia="Calibri" w:hAnsi="Calibri" w:cs="Calibri"/>
                <w:sz w:val="24"/>
                <w:szCs w:val="24"/>
              </w:rPr>
              <w:t>2</w:t>
            </w:r>
          </w:p>
        </w:tc>
        <w:tc>
          <w:tcPr>
            <w:tcW w:w="4755" w:type="dxa"/>
            <w:gridSpan w:val="3"/>
            <w:tcBorders>
              <w:top w:val="dotted" w:sz="2" w:space="0" w:color="000000"/>
              <w:right w:val="nil"/>
            </w:tcBorders>
          </w:tcPr>
          <w:p w14:paraId="16B0E33B" w14:textId="77777777" w:rsidR="000E7C14" w:rsidRDefault="00000000" w:rsidP="003F5097">
            <w:pPr>
              <w:spacing w:before="103" w:line="220" w:lineRule="auto"/>
              <w:jc w:val="left"/>
              <w:rPr>
                <w:rFonts w:ascii="宋体" w:eastAsia="宋体" w:hAnsi="宋体" w:cs="宋体" w:hint="eastAsia"/>
                <w:sz w:val="24"/>
                <w:szCs w:val="24"/>
              </w:rPr>
            </w:pPr>
            <w:r>
              <w:rPr>
                <w:rFonts w:ascii="宋体" w:eastAsia="宋体" w:hAnsi="宋体" w:cs="宋体"/>
                <w:spacing w:val="-1"/>
                <w:sz w:val="24"/>
                <w:szCs w:val="24"/>
              </w:rPr>
              <w:t>添加引用的两份外来文件</w:t>
            </w:r>
            <w:r>
              <w:rPr>
                <w:rFonts w:ascii="宋体" w:eastAsia="宋体" w:hAnsi="宋体" w:cs="宋体" w:hint="eastAsia"/>
                <w:spacing w:val="-1"/>
                <w:sz w:val="24"/>
                <w:szCs w:val="24"/>
              </w:rPr>
              <w:t>；</w:t>
            </w:r>
          </w:p>
        </w:tc>
      </w:tr>
      <w:tr w:rsidR="000E7C14" w14:paraId="4E34B9D9" w14:textId="77777777" w:rsidTr="003F5097">
        <w:trPr>
          <w:trHeight w:val="458"/>
        </w:trPr>
        <w:tc>
          <w:tcPr>
            <w:tcW w:w="1743" w:type="dxa"/>
            <w:tcBorders>
              <w:left w:val="nil"/>
              <w:bottom w:val="dotted" w:sz="2" w:space="0" w:color="000000"/>
            </w:tcBorders>
          </w:tcPr>
          <w:p w14:paraId="56C1FC57" w14:textId="77777777" w:rsidR="000E7C14" w:rsidRDefault="00000000">
            <w:pPr>
              <w:spacing w:before="155" w:line="179" w:lineRule="auto"/>
              <w:ind w:left="260"/>
              <w:rPr>
                <w:rFonts w:ascii="Calibri" w:eastAsia="Calibri" w:hAnsi="Calibri" w:cs="Calibri"/>
                <w:sz w:val="24"/>
                <w:szCs w:val="24"/>
              </w:rPr>
            </w:pPr>
            <w:r>
              <w:rPr>
                <w:rFonts w:ascii="Calibri" w:eastAsia="Calibri" w:hAnsi="Calibri" w:cs="Calibri"/>
                <w:spacing w:val="-2"/>
                <w:sz w:val="24"/>
                <w:szCs w:val="24"/>
              </w:rPr>
              <w:t>20</w:t>
            </w:r>
            <w:r>
              <w:rPr>
                <w:rFonts w:ascii="Calibri" w:eastAsia="Calibri" w:hAnsi="Calibri" w:cs="Calibri"/>
                <w:spacing w:val="-1"/>
                <w:sz w:val="24"/>
                <w:szCs w:val="24"/>
              </w:rPr>
              <w:t>22.11.10</w:t>
            </w:r>
          </w:p>
        </w:tc>
        <w:tc>
          <w:tcPr>
            <w:tcW w:w="1913" w:type="dxa"/>
            <w:tcBorders>
              <w:bottom w:val="dotted" w:sz="2" w:space="0" w:color="000000"/>
            </w:tcBorders>
          </w:tcPr>
          <w:p w14:paraId="2D0B911C" w14:textId="77777777" w:rsidR="000E7C14" w:rsidRDefault="00000000" w:rsidP="003F5097">
            <w:pPr>
              <w:spacing w:before="155" w:line="179" w:lineRule="auto"/>
              <w:ind w:left="684"/>
              <w:rPr>
                <w:rFonts w:ascii="Calibri" w:eastAsia="Calibri" w:hAnsi="Calibri" w:cs="Calibri"/>
                <w:sz w:val="24"/>
                <w:szCs w:val="24"/>
              </w:rPr>
            </w:pPr>
            <w:r>
              <w:rPr>
                <w:rFonts w:ascii="Calibri" w:eastAsia="Calibri" w:hAnsi="Calibri" w:cs="Calibri"/>
                <w:spacing w:val="-4"/>
                <w:sz w:val="24"/>
                <w:szCs w:val="24"/>
              </w:rPr>
              <w:t>5</w:t>
            </w:r>
            <w:r>
              <w:rPr>
                <w:rFonts w:ascii="Calibri" w:eastAsia="Calibri" w:hAnsi="Calibri" w:cs="Calibri"/>
                <w:spacing w:val="-2"/>
                <w:sz w:val="24"/>
                <w:szCs w:val="24"/>
              </w:rPr>
              <w:t>.3.3</w:t>
            </w:r>
          </w:p>
        </w:tc>
        <w:tc>
          <w:tcPr>
            <w:tcW w:w="1500" w:type="dxa"/>
            <w:tcBorders>
              <w:bottom w:val="dotted" w:sz="2" w:space="0" w:color="000000"/>
            </w:tcBorders>
          </w:tcPr>
          <w:p w14:paraId="7CF701F2" w14:textId="77777777" w:rsidR="000E7C14" w:rsidRDefault="00000000">
            <w:pPr>
              <w:spacing w:before="158" w:line="177" w:lineRule="auto"/>
              <w:ind w:left="437"/>
              <w:jc w:val="center"/>
              <w:rPr>
                <w:rFonts w:ascii="Calibri" w:eastAsia="Calibri" w:hAnsi="Calibri" w:cs="Calibri"/>
                <w:sz w:val="24"/>
                <w:szCs w:val="24"/>
              </w:rPr>
            </w:pPr>
            <w:r>
              <w:rPr>
                <w:rFonts w:ascii="Calibri" w:eastAsia="Calibri" w:hAnsi="Calibri" w:cs="Calibri"/>
                <w:sz w:val="24"/>
                <w:szCs w:val="24"/>
              </w:rPr>
              <w:t>4</w:t>
            </w:r>
          </w:p>
        </w:tc>
        <w:tc>
          <w:tcPr>
            <w:tcW w:w="4755" w:type="dxa"/>
            <w:gridSpan w:val="3"/>
            <w:tcBorders>
              <w:bottom w:val="dotted" w:sz="2" w:space="0" w:color="000000"/>
              <w:right w:val="nil"/>
            </w:tcBorders>
          </w:tcPr>
          <w:p w14:paraId="6D361047" w14:textId="77777777" w:rsidR="000E7C14" w:rsidRDefault="00000000" w:rsidP="003F5097">
            <w:pPr>
              <w:spacing w:before="105" w:line="220" w:lineRule="auto"/>
              <w:jc w:val="left"/>
              <w:rPr>
                <w:rFonts w:ascii="宋体" w:eastAsia="宋体" w:hAnsi="宋体" w:cs="宋体" w:hint="eastAsia"/>
                <w:sz w:val="24"/>
                <w:szCs w:val="24"/>
              </w:rPr>
            </w:pPr>
            <w:r>
              <w:rPr>
                <w:rFonts w:ascii="宋体" w:eastAsia="宋体" w:hAnsi="宋体" w:cs="宋体"/>
                <w:spacing w:val="-1"/>
                <w:sz w:val="24"/>
                <w:szCs w:val="24"/>
              </w:rPr>
              <w:t>增加了检查内容要求及</w:t>
            </w:r>
            <w:r>
              <w:rPr>
                <w:rFonts w:ascii="宋体" w:eastAsia="宋体" w:hAnsi="宋体" w:cs="宋体"/>
                <w:sz w:val="24"/>
                <w:szCs w:val="24"/>
              </w:rPr>
              <w:t>学校检查次数</w:t>
            </w:r>
            <w:r>
              <w:rPr>
                <w:rFonts w:ascii="宋体" w:eastAsia="宋体" w:hAnsi="宋体" w:cs="宋体" w:hint="eastAsia"/>
                <w:sz w:val="24"/>
                <w:szCs w:val="24"/>
              </w:rPr>
              <w:t>。</w:t>
            </w:r>
          </w:p>
        </w:tc>
      </w:tr>
      <w:tr w:rsidR="000E7C14" w14:paraId="39A09771" w14:textId="77777777" w:rsidTr="003F5097">
        <w:trPr>
          <w:trHeight w:val="458"/>
        </w:trPr>
        <w:tc>
          <w:tcPr>
            <w:tcW w:w="1743" w:type="dxa"/>
            <w:tcBorders>
              <w:top w:val="dotted" w:sz="2" w:space="0" w:color="000000"/>
              <w:left w:val="nil"/>
              <w:bottom w:val="dotted" w:sz="2" w:space="0" w:color="000000"/>
            </w:tcBorders>
            <w:vAlign w:val="center"/>
          </w:tcPr>
          <w:p w14:paraId="05837BD0" w14:textId="77777777" w:rsidR="000E7C14" w:rsidRDefault="00000000">
            <w:pPr>
              <w:spacing w:before="153" w:line="179" w:lineRule="auto"/>
              <w:ind w:left="260"/>
              <w:rPr>
                <w:rFonts w:ascii="Calibri" w:eastAsia="Calibri" w:hAnsi="Calibri" w:cs="Calibri"/>
                <w:spacing w:val="-1"/>
                <w:sz w:val="24"/>
                <w:szCs w:val="24"/>
              </w:rPr>
            </w:pPr>
            <w:r>
              <w:rPr>
                <w:rFonts w:ascii="Calibri" w:eastAsia="Calibri" w:hAnsi="Calibri" w:cs="Calibri" w:hint="eastAsia"/>
                <w:spacing w:val="-1"/>
                <w:sz w:val="24"/>
                <w:szCs w:val="24"/>
              </w:rPr>
              <w:t>2024.12.15</w:t>
            </w:r>
          </w:p>
        </w:tc>
        <w:tc>
          <w:tcPr>
            <w:tcW w:w="1913" w:type="dxa"/>
            <w:tcBorders>
              <w:top w:val="dotted" w:sz="2" w:space="0" w:color="000000"/>
              <w:bottom w:val="dotted" w:sz="2" w:space="0" w:color="000000"/>
            </w:tcBorders>
            <w:vAlign w:val="center"/>
          </w:tcPr>
          <w:p w14:paraId="2CD8E33E" w14:textId="77777777" w:rsidR="000E7C14" w:rsidRDefault="00000000">
            <w:pPr>
              <w:spacing w:before="153" w:line="179" w:lineRule="auto"/>
              <w:ind w:left="260"/>
              <w:jc w:val="center"/>
              <w:rPr>
                <w:rFonts w:ascii="Calibri" w:eastAsia="Calibri" w:hAnsi="Calibri" w:cs="Calibri"/>
                <w:spacing w:val="-1"/>
                <w:sz w:val="24"/>
                <w:szCs w:val="24"/>
              </w:rPr>
            </w:pPr>
            <w:r>
              <w:rPr>
                <w:rFonts w:ascii="Calibri" w:eastAsia="Calibri" w:hAnsi="Calibri" w:cs="Calibri" w:hint="eastAsia"/>
                <w:spacing w:val="-1"/>
                <w:sz w:val="24"/>
                <w:szCs w:val="24"/>
              </w:rPr>
              <w:t>5.3.3</w:t>
            </w:r>
          </w:p>
        </w:tc>
        <w:tc>
          <w:tcPr>
            <w:tcW w:w="1500" w:type="dxa"/>
            <w:tcBorders>
              <w:top w:val="dotted" w:sz="2" w:space="0" w:color="000000"/>
              <w:bottom w:val="dotted" w:sz="2" w:space="0" w:color="000000"/>
            </w:tcBorders>
            <w:vAlign w:val="center"/>
          </w:tcPr>
          <w:p w14:paraId="3F2280D6" w14:textId="77777777" w:rsidR="000E7C14" w:rsidRDefault="00000000">
            <w:pPr>
              <w:spacing w:before="153" w:line="179" w:lineRule="auto"/>
              <w:ind w:left="260"/>
              <w:jc w:val="center"/>
              <w:rPr>
                <w:rFonts w:ascii="Calibri" w:eastAsia="Calibri" w:hAnsi="Calibri" w:cs="Calibri"/>
                <w:spacing w:val="-1"/>
                <w:sz w:val="24"/>
                <w:szCs w:val="24"/>
              </w:rPr>
            </w:pPr>
            <w:r>
              <w:rPr>
                <w:rFonts w:ascii="Calibri" w:eastAsia="Calibri" w:hAnsi="Calibri" w:cs="Calibri" w:hint="eastAsia"/>
                <w:spacing w:val="-1"/>
                <w:sz w:val="24"/>
                <w:szCs w:val="24"/>
              </w:rPr>
              <w:t>4</w:t>
            </w:r>
          </w:p>
        </w:tc>
        <w:tc>
          <w:tcPr>
            <w:tcW w:w="4755" w:type="dxa"/>
            <w:gridSpan w:val="3"/>
            <w:tcBorders>
              <w:top w:val="dotted" w:sz="2" w:space="0" w:color="000000"/>
              <w:bottom w:val="dotted" w:sz="2" w:space="0" w:color="000000"/>
              <w:right w:val="nil"/>
            </w:tcBorders>
            <w:vAlign w:val="center"/>
          </w:tcPr>
          <w:p w14:paraId="4D674BC8" w14:textId="77777777" w:rsidR="000E7C14" w:rsidRDefault="00000000">
            <w:pPr>
              <w:jc w:val="left"/>
              <w:rPr>
                <w:rFonts w:ascii="Arial" w:eastAsia="Arial" w:hAnsi="Arial" w:cs="Arial"/>
                <w:snapToGrid w:val="0"/>
                <w:color w:val="000000"/>
                <w:kern w:val="0"/>
                <w:sz w:val="24"/>
                <w:szCs w:val="24"/>
              </w:rPr>
            </w:pPr>
            <w:r>
              <w:rPr>
                <w:rFonts w:hint="eastAsia"/>
                <w:color w:val="000000" w:themeColor="text1"/>
                <w:sz w:val="24"/>
                <w:szCs w:val="24"/>
              </w:rPr>
              <w:t>增加依据上级文件要求学校不定期对二级学院进行安全评估相关内容；</w:t>
            </w:r>
          </w:p>
        </w:tc>
      </w:tr>
      <w:tr w:rsidR="000E7C14" w14:paraId="6A4D0ED7" w14:textId="77777777" w:rsidTr="003F5097">
        <w:trPr>
          <w:trHeight w:val="461"/>
        </w:trPr>
        <w:tc>
          <w:tcPr>
            <w:tcW w:w="1743" w:type="dxa"/>
            <w:tcBorders>
              <w:top w:val="dotted" w:sz="2" w:space="0" w:color="000000"/>
              <w:left w:val="nil"/>
              <w:bottom w:val="dotted" w:sz="2" w:space="0" w:color="000000"/>
            </w:tcBorders>
            <w:vAlign w:val="center"/>
          </w:tcPr>
          <w:p w14:paraId="6057666A" w14:textId="77777777" w:rsidR="000E7C14" w:rsidRDefault="00000000">
            <w:pPr>
              <w:spacing w:before="153" w:line="179" w:lineRule="auto"/>
              <w:ind w:left="260"/>
              <w:rPr>
                <w:rFonts w:ascii="Calibri" w:eastAsia="Calibri" w:hAnsi="Calibri" w:cs="Calibri"/>
                <w:spacing w:val="-1"/>
                <w:sz w:val="24"/>
                <w:szCs w:val="24"/>
              </w:rPr>
            </w:pPr>
            <w:r>
              <w:rPr>
                <w:rFonts w:ascii="Calibri" w:eastAsia="Calibri" w:hAnsi="Calibri" w:cs="Calibri" w:hint="eastAsia"/>
                <w:spacing w:val="-1"/>
                <w:sz w:val="24"/>
                <w:szCs w:val="24"/>
              </w:rPr>
              <w:t>2024.12.15</w:t>
            </w:r>
          </w:p>
        </w:tc>
        <w:tc>
          <w:tcPr>
            <w:tcW w:w="1913" w:type="dxa"/>
            <w:tcBorders>
              <w:top w:val="dotted" w:sz="2" w:space="0" w:color="000000"/>
              <w:bottom w:val="dotted" w:sz="2" w:space="0" w:color="000000"/>
            </w:tcBorders>
            <w:vAlign w:val="center"/>
          </w:tcPr>
          <w:p w14:paraId="2BA5C737" w14:textId="77777777" w:rsidR="000E7C14" w:rsidRDefault="00000000">
            <w:pPr>
              <w:spacing w:before="153" w:line="179" w:lineRule="auto"/>
              <w:ind w:left="260"/>
              <w:jc w:val="center"/>
              <w:rPr>
                <w:rFonts w:ascii="Calibri" w:eastAsia="Calibri" w:hAnsi="Calibri" w:cs="Calibri"/>
                <w:spacing w:val="-1"/>
                <w:sz w:val="24"/>
                <w:szCs w:val="24"/>
              </w:rPr>
            </w:pPr>
            <w:r>
              <w:rPr>
                <w:rFonts w:ascii="Calibri" w:eastAsia="Calibri" w:hAnsi="Calibri" w:cs="Calibri" w:hint="eastAsia"/>
                <w:spacing w:val="-1"/>
                <w:sz w:val="24"/>
                <w:szCs w:val="24"/>
              </w:rPr>
              <w:t>5.</w:t>
            </w:r>
            <w:proofErr w:type="gramStart"/>
            <w:r>
              <w:rPr>
                <w:rFonts w:ascii="Calibri" w:eastAsia="Calibri" w:hAnsi="Calibri" w:cs="Calibri" w:hint="eastAsia"/>
                <w:spacing w:val="-1"/>
                <w:sz w:val="24"/>
                <w:szCs w:val="24"/>
              </w:rPr>
              <w:t>4..</w:t>
            </w:r>
            <w:proofErr w:type="gramEnd"/>
            <w:r>
              <w:rPr>
                <w:rFonts w:ascii="Calibri" w:eastAsia="Calibri" w:hAnsi="Calibri" w:cs="Calibri" w:hint="eastAsia"/>
                <w:spacing w:val="-1"/>
                <w:sz w:val="24"/>
                <w:szCs w:val="24"/>
              </w:rPr>
              <w:t>4</w:t>
            </w:r>
          </w:p>
        </w:tc>
        <w:tc>
          <w:tcPr>
            <w:tcW w:w="1500" w:type="dxa"/>
            <w:tcBorders>
              <w:top w:val="dotted" w:sz="2" w:space="0" w:color="000000"/>
              <w:bottom w:val="dotted" w:sz="2" w:space="0" w:color="000000"/>
            </w:tcBorders>
            <w:vAlign w:val="center"/>
          </w:tcPr>
          <w:p w14:paraId="2F1B861A" w14:textId="77777777" w:rsidR="000E7C14" w:rsidRDefault="00000000">
            <w:pPr>
              <w:spacing w:before="153" w:line="179" w:lineRule="auto"/>
              <w:ind w:left="260"/>
              <w:jc w:val="center"/>
              <w:rPr>
                <w:rFonts w:ascii="Calibri" w:eastAsia="Calibri" w:hAnsi="Calibri" w:cs="Calibri"/>
                <w:spacing w:val="-1"/>
                <w:sz w:val="24"/>
                <w:szCs w:val="24"/>
              </w:rPr>
            </w:pPr>
            <w:r>
              <w:rPr>
                <w:rFonts w:ascii="Calibri" w:eastAsia="Calibri" w:hAnsi="Calibri" w:cs="Calibri" w:hint="eastAsia"/>
                <w:spacing w:val="-1"/>
                <w:sz w:val="24"/>
                <w:szCs w:val="24"/>
              </w:rPr>
              <w:t>5</w:t>
            </w:r>
          </w:p>
        </w:tc>
        <w:tc>
          <w:tcPr>
            <w:tcW w:w="4755" w:type="dxa"/>
            <w:gridSpan w:val="3"/>
            <w:tcBorders>
              <w:top w:val="dotted" w:sz="2" w:space="0" w:color="000000"/>
              <w:bottom w:val="dotted" w:sz="2" w:space="0" w:color="000000"/>
              <w:right w:val="nil"/>
            </w:tcBorders>
            <w:vAlign w:val="center"/>
          </w:tcPr>
          <w:p w14:paraId="2D2AAF37" w14:textId="77777777" w:rsidR="000E7C14" w:rsidRDefault="00000000">
            <w:pPr>
              <w:jc w:val="left"/>
              <w:rPr>
                <w:rFonts w:ascii="Arial" w:hAnsi="Arial" w:cs="Arial"/>
                <w:snapToGrid w:val="0"/>
                <w:color w:val="000000"/>
                <w:kern w:val="0"/>
                <w:sz w:val="24"/>
                <w:szCs w:val="24"/>
              </w:rPr>
            </w:pPr>
            <w:r>
              <w:rPr>
                <w:rFonts w:hint="eastAsia"/>
                <w:color w:val="000000" w:themeColor="text1"/>
                <w:sz w:val="24"/>
                <w:szCs w:val="24"/>
              </w:rPr>
              <w:t>增加构建实验安全教育体系的管理内容，提升师生的各项安全相关的技能；</w:t>
            </w:r>
          </w:p>
        </w:tc>
      </w:tr>
      <w:tr w:rsidR="000E7C14" w14:paraId="53BB2480" w14:textId="77777777" w:rsidTr="003F5097">
        <w:trPr>
          <w:trHeight w:val="458"/>
        </w:trPr>
        <w:tc>
          <w:tcPr>
            <w:tcW w:w="1743" w:type="dxa"/>
            <w:tcBorders>
              <w:top w:val="dotted" w:sz="2" w:space="0" w:color="000000"/>
              <w:left w:val="nil"/>
              <w:bottom w:val="dotted" w:sz="2" w:space="0" w:color="000000"/>
            </w:tcBorders>
            <w:vAlign w:val="center"/>
          </w:tcPr>
          <w:p w14:paraId="2E6047C0" w14:textId="77777777" w:rsidR="000E7C14" w:rsidRDefault="00000000">
            <w:pPr>
              <w:spacing w:before="153" w:line="179" w:lineRule="auto"/>
              <w:ind w:left="260"/>
              <w:rPr>
                <w:rFonts w:ascii="Calibri" w:eastAsia="Calibri" w:hAnsi="Calibri" w:cs="Calibri"/>
                <w:spacing w:val="-1"/>
                <w:sz w:val="24"/>
                <w:szCs w:val="24"/>
              </w:rPr>
            </w:pPr>
            <w:r>
              <w:rPr>
                <w:rFonts w:ascii="Calibri" w:eastAsia="Calibri" w:hAnsi="Calibri" w:cs="Calibri" w:hint="eastAsia"/>
                <w:spacing w:val="-1"/>
                <w:sz w:val="24"/>
                <w:szCs w:val="24"/>
              </w:rPr>
              <w:t>2024.12.15</w:t>
            </w:r>
          </w:p>
        </w:tc>
        <w:tc>
          <w:tcPr>
            <w:tcW w:w="1913" w:type="dxa"/>
            <w:tcBorders>
              <w:top w:val="dotted" w:sz="2" w:space="0" w:color="000000"/>
              <w:bottom w:val="dotted" w:sz="2" w:space="0" w:color="000000"/>
            </w:tcBorders>
            <w:vAlign w:val="center"/>
          </w:tcPr>
          <w:p w14:paraId="6CE29C07" w14:textId="77777777" w:rsidR="000E7C14" w:rsidRDefault="00000000">
            <w:pPr>
              <w:spacing w:before="153" w:line="179" w:lineRule="auto"/>
              <w:ind w:left="260"/>
              <w:jc w:val="center"/>
              <w:rPr>
                <w:rFonts w:ascii="Calibri" w:eastAsia="Calibri" w:hAnsi="Calibri" w:cs="Calibri"/>
                <w:spacing w:val="-1"/>
                <w:sz w:val="24"/>
                <w:szCs w:val="24"/>
              </w:rPr>
            </w:pPr>
            <w:r>
              <w:rPr>
                <w:rFonts w:ascii="Calibri" w:eastAsia="Calibri" w:hAnsi="Calibri" w:cs="Calibri" w:hint="eastAsia"/>
                <w:spacing w:val="-1"/>
                <w:sz w:val="24"/>
                <w:szCs w:val="24"/>
              </w:rPr>
              <w:t>5.6.3</w:t>
            </w:r>
          </w:p>
        </w:tc>
        <w:tc>
          <w:tcPr>
            <w:tcW w:w="1500" w:type="dxa"/>
            <w:tcBorders>
              <w:top w:val="dotted" w:sz="2" w:space="0" w:color="000000"/>
              <w:bottom w:val="dotted" w:sz="2" w:space="0" w:color="000000"/>
            </w:tcBorders>
            <w:vAlign w:val="center"/>
          </w:tcPr>
          <w:p w14:paraId="4BB33C4D" w14:textId="77777777" w:rsidR="000E7C14" w:rsidRDefault="00000000">
            <w:pPr>
              <w:spacing w:before="153" w:line="179" w:lineRule="auto"/>
              <w:ind w:left="260"/>
              <w:jc w:val="center"/>
              <w:rPr>
                <w:rFonts w:ascii="Calibri" w:eastAsia="Calibri" w:hAnsi="Calibri" w:cs="Calibri"/>
                <w:spacing w:val="-1"/>
                <w:sz w:val="24"/>
                <w:szCs w:val="24"/>
              </w:rPr>
            </w:pPr>
            <w:r>
              <w:rPr>
                <w:rFonts w:ascii="Calibri" w:eastAsia="Calibri" w:hAnsi="Calibri" w:cs="Calibri" w:hint="eastAsia"/>
                <w:spacing w:val="-1"/>
                <w:sz w:val="24"/>
                <w:szCs w:val="24"/>
              </w:rPr>
              <w:t>7</w:t>
            </w:r>
          </w:p>
        </w:tc>
        <w:tc>
          <w:tcPr>
            <w:tcW w:w="4755" w:type="dxa"/>
            <w:gridSpan w:val="3"/>
            <w:tcBorders>
              <w:top w:val="dotted" w:sz="2" w:space="0" w:color="000000"/>
              <w:bottom w:val="dotted" w:sz="2" w:space="0" w:color="000000"/>
              <w:right w:val="nil"/>
            </w:tcBorders>
            <w:vAlign w:val="center"/>
          </w:tcPr>
          <w:p w14:paraId="5EEE7FAF" w14:textId="77777777" w:rsidR="000E7C14" w:rsidRDefault="00000000">
            <w:pPr>
              <w:jc w:val="left"/>
              <w:rPr>
                <w:rFonts w:ascii="Arial" w:hAnsi="Arial" w:cs="Arial"/>
                <w:snapToGrid w:val="0"/>
                <w:color w:val="000000"/>
                <w:kern w:val="0"/>
                <w:sz w:val="24"/>
                <w:szCs w:val="24"/>
              </w:rPr>
            </w:pPr>
            <w:r>
              <w:rPr>
                <w:rFonts w:hint="eastAsia"/>
                <w:color w:val="000000" w:themeColor="text1"/>
                <w:sz w:val="24"/>
                <w:szCs w:val="24"/>
              </w:rPr>
              <w:t>增加学院负责危险化学品的申购的管理内容。</w:t>
            </w:r>
          </w:p>
        </w:tc>
      </w:tr>
      <w:tr w:rsidR="000E7C14" w14:paraId="6049DFB1" w14:textId="77777777" w:rsidTr="003F5097">
        <w:trPr>
          <w:trHeight w:val="458"/>
        </w:trPr>
        <w:tc>
          <w:tcPr>
            <w:tcW w:w="1743" w:type="dxa"/>
            <w:tcBorders>
              <w:top w:val="dotted" w:sz="2" w:space="0" w:color="000000"/>
              <w:left w:val="nil"/>
              <w:bottom w:val="dotted" w:sz="2" w:space="0" w:color="000000"/>
            </w:tcBorders>
            <w:vAlign w:val="center"/>
          </w:tcPr>
          <w:p w14:paraId="6F29DEBB" w14:textId="77777777" w:rsidR="000E7C14" w:rsidRDefault="000E7C14">
            <w:pPr>
              <w:jc w:val="center"/>
              <w:rPr>
                <w:rFonts w:ascii="Arial" w:eastAsia="Arial" w:hAnsi="Arial" w:cs="Arial"/>
                <w:snapToGrid w:val="0"/>
                <w:color w:val="000000"/>
                <w:kern w:val="0"/>
                <w:sz w:val="24"/>
                <w:szCs w:val="24"/>
              </w:rPr>
            </w:pPr>
          </w:p>
        </w:tc>
        <w:tc>
          <w:tcPr>
            <w:tcW w:w="1913" w:type="dxa"/>
            <w:tcBorders>
              <w:top w:val="dotted" w:sz="2" w:space="0" w:color="000000"/>
              <w:bottom w:val="dotted" w:sz="2" w:space="0" w:color="000000"/>
            </w:tcBorders>
            <w:vAlign w:val="center"/>
          </w:tcPr>
          <w:p w14:paraId="3A3C4F10" w14:textId="77777777" w:rsidR="000E7C14" w:rsidRDefault="000E7C14">
            <w:pPr>
              <w:jc w:val="center"/>
              <w:rPr>
                <w:rFonts w:ascii="Arial" w:eastAsia="Arial" w:hAnsi="Arial" w:cs="Arial"/>
                <w:snapToGrid w:val="0"/>
                <w:color w:val="000000"/>
                <w:kern w:val="0"/>
                <w:sz w:val="24"/>
                <w:szCs w:val="24"/>
              </w:rPr>
            </w:pPr>
          </w:p>
        </w:tc>
        <w:tc>
          <w:tcPr>
            <w:tcW w:w="1500" w:type="dxa"/>
            <w:tcBorders>
              <w:top w:val="dotted" w:sz="2" w:space="0" w:color="000000"/>
              <w:bottom w:val="dotted" w:sz="2" w:space="0" w:color="000000"/>
            </w:tcBorders>
            <w:vAlign w:val="center"/>
          </w:tcPr>
          <w:p w14:paraId="125093D4" w14:textId="77777777" w:rsidR="000E7C14" w:rsidRDefault="000E7C14">
            <w:pPr>
              <w:jc w:val="center"/>
              <w:rPr>
                <w:rFonts w:ascii="Arial" w:eastAsia="Arial" w:hAnsi="Arial" w:cs="Arial"/>
                <w:snapToGrid w:val="0"/>
                <w:color w:val="000000"/>
                <w:kern w:val="0"/>
                <w:sz w:val="24"/>
                <w:szCs w:val="24"/>
              </w:rPr>
            </w:pPr>
          </w:p>
        </w:tc>
        <w:tc>
          <w:tcPr>
            <w:tcW w:w="4755" w:type="dxa"/>
            <w:gridSpan w:val="3"/>
            <w:tcBorders>
              <w:top w:val="dotted" w:sz="2" w:space="0" w:color="000000"/>
              <w:bottom w:val="dotted" w:sz="2" w:space="0" w:color="000000"/>
              <w:right w:val="nil"/>
            </w:tcBorders>
            <w:vAlign w:val="center"/>
          </w:tcPr>
          <w:p w14:paraId="2DA16266" w14:textId="77777777" w:rsidR="000E7C14" w:rsidRDefault="000E7C14">
            <w:pPr>
              <w:jc w:val="center"/>
              <w:rPr>
                <w:rFonts w:ascii="Arial" w:eastAsia="Arial" w:hAnsi="Arial" w:cs="Arial"/>
                <w:snapToGrid w:val="0"/>
                <w:color w:val="000000"/>
                <w:kern w:val="0"/>
                <w:sz w:val="24"/>
                <w:szCs w:val="24"/>
              </w:rPr>
            </w:pPr>
          </w:p>
        </w:tc>
      </w:tr>
      <w:tr w:rsidR="000E7C14" w14:paraId="5FA7F007" w14:textId="77777777" w:rsidTr="003F5097">
        <w:trPr>
          <w:trHeight w:val="460"/>
        </w:trPr>
        <w:tc>
          <w:tcPr>
            <w:tcW w:w="1743" w:type="dxa"/>
            <w:tcBorders>
              <w:top w:val="dotted" w:sz="2" w:space="0" w:color="000000"/>
              <w:left w:val="nil"/>
              <w:bottom w:val="dotted" w:sz="2" w:space="0" w:color="000000"/>
            </w:tcBorders>
          </w:tcPr>
          <w:p w14:paraId="2FDF97A3" w14:textId="77777777" w:rsidR="000E7C14" w:rsidRDefault="000E7C14">
            <w:pPr>
              <w:rPr>
                <w:rFonts w:ascii="Arial"/>
              </w:rPr>
            </w:pPr>
          </w:p>
        </w:tc>
        <w:tc>
          <w:tcPr>
            <w:tcW w:w="1913" w:type="dxa"/>
            <w:tcBorders>
              <w:top w:val="dotted" w:sz="2" w:space="0" w:color="000000"/>
              <w:bottom w:val="dotted" w:sz="2" w:space="0" w:color="000000"/>
            </w:tcBorders>
          </w:tcPr>
          <w:p w14:paraId="3D323E55" w14:textId="77777777" w:rsidR="000E7C14" w:rsidRDefault="000E7C14">
            <w:pPr>
              <w:rPr>
                <w:rFonts w:ascii="Arial"/>
              </w:rPr>
            </w:pPr>
          </w:p>
        </w:tc>
        <w:tc>
          <w:tcPr>
            <w:tcW w:w="1500" w:type="dxa"/>
            <w:tcBorders>
              <w:top w:val="dotted" w:sz="2" w:space="0" w:color="000000"/>
              <w:bottom w:val="dotted" w:sz="2" w:space="0" w:color="000000"/>
            </w:tcBorders>
          </w:tcPr>
          <w:p w14:paraId="610E47E2" w14:textId="77777777" w:rsidR="000E7C14" w:rsidRDefault="000E7C14">
            <w:pPr>
              <w:rPr>
                <w:rFonts w:ascii="Arial"/>
              </w:rPr>
            </w:pPr>
          </w:p>
        </w:tc>
        <w:tc>
          <w:tcPr>
            <w:tcW w:w="4755" w:type="dxa"/>
            <w:gridSpan w:val="3"/>
            <w:tcBorders>
              <w:top w:val="dotted" w:sz="2" w:space="0" w:color="000000"/>
              <w:bottom w:val="dotted" w:sz="2" w:space="0" w:color="000000"/>
              <w:right w:val="nil"/>
            </w:tcBorders>
          </w:tcPr>
          <w:p w14:paraId="603E4806" w14:textId="77777777" w:rsidR="000E7C14" w:rsidRDefault="000E7C14">
            <w:pPr>
              <w:rPr>
                <w:rFonts w:ascii="Arial"/>
              </w:rPr>
            </w:pPr>
          </w:p>
        </w:tc>
      </w:tr>
      <w:tr w:rsidR="000E7C14" w14:paraId="09590161" w14:textId="77777777" w:rsidTr="003F5097">
        <w:trPr>
          <w:trHeight w:val="458"/>
        </w:trPr>
        <w:tc>
          <w:tcPr>
            <w:tcW w:w="1743" w:type="dxa"/>
            <w:tcBorders>
              <w:top w:val="dotted" w:sz="2" w:space="0" w:color="000000"/>
              <w:left w:val="nil"/>
              <w:bottom w:val="dotted" w:sz="2" w:space="0" w:color="000000"/>
            </w:tcBorders>
          </w:tcPr>
          <w:p w14:paraId="2F86FF43" w14:textId="77777777" w:rsidR="000E7C14" w:rsidRDefault="000E7C14">
            <w:pPr>
              <w:rPr>
                <w:rFonts w:ascii="Arial"/>
              </w:rPr>
            </w:pPr>
          </w:p>
        </w:tc>
        <w:tc>
          <w:tcPr>
            <w:tcW w:w="1913" w:type="dxa"/>
            <w:tcBorders>
              <w:top w:val="dotted" w:sz="2" w:space="0" w:color="000000"/>
              <w:bottom w:val="dotted" w:sz="2" w:space="0" w:color="000000"/>
            </w:tcBorders>
          </w:tcPr>
          <w:p w14:paraId="1CE9470D" w14:textId="77777777" w:rsidR="000E7C14" w:rsidRDefault="000E7C14">
            <w:pPr>
              <w:rPr>
                <w:rFonts w:ascii="Arial"/>
              </w:rPr>
            </w:pPr>
          </w:p>
        </w:tc>
        <w:tc>
          <w:tcPr>
            <w:tcW w:w="1500" w:type="dxa"/>
            <w:tcBorders>
              <w:top w:val="dotted" w:sz="2" w:space="0" w:color="000000"/>
              <w:bottom w:val="dotted" w:sz="2" w:space="0" w:color="000000"/>
            </w:tcBorders>
          </w:tcPr>
          <w:p w14:paraId="5E0D9717" w14:textId="77777777" w:rsidR="000E7C14" w:rsidRDefault="000E7C14">
            <w:pPr>
              <w:rPr>
                <w:rFonts w:ascii="Arial"/>
              </w:rPr>
            </w:pPr>
          </w:p>
        </w:tc>
        <w:tc>
          <w:tcPr>
            <w:tcW w:w="4755" w:type="dxa"/>
            <w:gridSpan w:val="3"/>
            <w:tcBorders>
              <w:top w:val="dotted" w:sz="2" w:space="0" w:color="000000"/>
              <w:bottom w:val="dotted" w:sz="2" w:space="0" w:color="000000"/>
              <w:right w:val="nil"/>
            </w:tcBorders>
          </w:tcPr>
          <w:p w14:paraId="0982C21F" w14:textId="77777777" w:rsidR="000E7C14" w:rsidRDefault="000E7C14">
            <w:pPr>
              <w:rPr>
                <w:rFonts w:ascii="Arial"/>
              </w:rPr>
            </w:pPr>
          </w:p>
        </w:tc>
      </w:tr>
      <w:tr w:rsidR="000E7C14" w14:paraId="6EFF4D00" w14:textId="77777777" w:rsidTr="003F5097">
        <w:trPr>
          <w:trHeight w:val="458"/>
        </w:trPr>
        <w:tc>
          <w:tcPr>
            <w:tcW w:w="1743" w:type="dxa"/>
            <w:tcBorders>
              <w:top w:val="dotted" w:sz="2" w:space="0" w:color="000000"/>
              <w:left w:val="nil"/>
              <w:bottom w:val="dotted" w:sz="2" w:space="0" w:color="000000"/>
            </w:tcBorders>
          </w:tcPr>
          <w:p w14:paraId="08A440B7" w14:textId="77777777" w:rsidR="000E7C14" w:rsidRDefault="000E7C14">
            <w:pPr>
              <w:rPr>
                <w:rFonts w:ascii="Arial"/>
              </w:rPr>
            </w:pPr>
          </w:p>
        </w:tc>
        <w:tc>
          <w:tcPr>
            <w:tcW w:w="1913" w:type="dxa"/>
            <w:tcBorders>
              <w:top w:val="dotted" w:sz="2" w:space="0" w:color="000000"/>
              <w:bottom w:val="dotted" w:sz="2" w:space="0" w:color="000000"/>
            </w:tcBorders>
          </w:tcPr>
          <w:p w14:paraId="075BB32B" w14:textId="77777777" w:rsidR="000E7C14" w:rsidRDefault="000E7C14">
            <w:pPr>
              <w:rPr>
                <w:rFonts w:ascii="Arial"/>
              </w:rPr>
            </w:pPr>
          </w:p>
        </w:tc>
        <w:tc>
          <w:tcPr>
            <w:tcW w:w="1500" w:type="dxa"/>
            <w:tcBorders>
              <w:top w:val="dotted" w:sz="2" w:space="0" w:color="000000"/>
              <w:bottom w:val="dotted" w:sz="2" w:space="0" w:color="000000"/>
            </w:tcBorders>
          </w:tcPr>
          <w:p w14:paraId="0217C8AB" w14:textId="77777777" w:rsidR="000E7C14" w:rsidRDefault="000E7C14">
            <w:pPr>
              <w:rPr>
                <w:rFonts w:ascii="Arial"/>
              </w:rPr>
            </w:pPr>
          </w:p>
        </w:tc>
        <w:tc>
          <w:tcPr>
            <w:tcW w:w="4755" w:type="dxa"/>
            <w:gridSpan w:val="3"/>
            <w:tcBorders>
              <w:top w:val="dotted" w:sz="2" w:space="0" w:color="000000"/>
              <w:bottom w:val="dotted" w:sz="2" w:space="0" w:color="000000"/>
              <w:right w:val="nil"/>
            </w:tcBorders>
          </w:tcPr>
          <w:p w14:paraId="72E1357D" w14:textId="77777777" w:rsidR="000E7C14" w:rsidRDefault="000E7C14">
            <w:pPr>
              <w:rPr>
                <w:rFonts w:ascii="Arial"/>
              </w:rPr>
            </w:pPr>
          </w:p>
        </w:tc>
      </w:tr>
      <w:tr w:rsidR="000E7C14" w14:paraId="718FD7C0" w14:textId="77777777" w:rsidTr="003F5097">
        <w:trPr>
          <w:trHeight w:val="461"/>
        </w:trPr>
        <w:tc>
          <w:tcPr>
            <w:tcW w:w="1743" w:type="dxa"/>
            <w:tcBorders>
              <w:top w:val="dotted" w:sz="2" w:space="0" w:color="000000"/>
              <w:left w:val="nil"/>
              <w:bottom w:val="dotted" w:sz="2" w:space="0" w:color="000000"/>
            </w:tcBorders>
          </w:tcPr>
          <w:p w14:paraId="23874833" w14:textId="77777777" w:rsidR="000E7C14" w:rsidRDefault="000E7C14">
            <w:pPr>
              <w:rPr>
                <w:rFonts w:ascii="Arial"/>
              </w:rPr>
            </w:pPr>
          </w:p>
        </w:tc>
        <w:tc>
          <w:tcPr>
            <w:tcW w:w="1913" w:type="dxa"/>
            <w:tcBorders>
              <w:top w:val="dotted" w:sz="2" w:space="0" w:color="000000"/>
              <w:bottom w:val="dotted" w:sz="2" w:space="0" w:color="000000"/>
            </w:tcBorders>
          </w:tcPr>
          <w:p w14:paraId="02F3D8A5" w14:textId="77777777" w:rsidR="000E7C14" w:rsidRDefault="000E7C14">
            <w:pPr>
              <w:rPr>
                <w:rFonts w:ascii="Arial"/>
              </w:rPr>
            </w:pPr>
          </w:p>
        </w:tc>
        <w:tc>
          <w:tcPr>
            <w:tcW w:w="1500" w:type="dxa"/>
            <w:tcBorders>
              <w:top w:val="dotted" w:sz="2" w:space="0" w:color="000000"/>
              <w:bottom w:val="dotted" w:sz="2" w:space="0" w:color="000000"/>
            </w:tcBorders>
          </w:tcPr>
          <w:p w14:paraId="69DEE95C" w14:textId="77777777" w:rsidR="000E7C14" w:rsidRDefault="000E7C14">
            <w:pPr>
              <w:rPr>
                <w:rFonts w:ascii="Arial"/>
              </w:rPr>
            </w:pPr>
          </w:p>
        </w:tc>
        <w:tc>
          <w:tcPr>
            <w:tcW w:w="4755" w:type="dxa"/>
            <w:gridSpan w:val="3"/>
            <w:tcBorders>
              <w:top w:val="dotted" w:sz="2" w:space="0" w:color="000000"/>
              <w:bottom w:val="dotted" w:sz="2" w:space="0" w:color="000000"/>
              <w:right w:val="nil"/>
            </w:tcBorders>
          </w:tcPr>
          <w:p w14:paraId="32D1EEC0" w14:textId="77777777" w:rsidR="000E7C14" w:rsidRDefault="000E7C14">
            <w:pPr>
              <w:rPr>
                <w:rFonts w:ascii="Arial"/>
              </w:rPr>
            </w:pPr>
          </w:p>
        </w:tc>
      </w:tr>
      <w:tr w:rsidR="000E7C14" w14:paraId="7C897B73" w14:textId="77777777" w:rsidTr="003F5097">
        <w:trPr>
          <w:trHeight w:val="458"/>
        </w:trPr>
        <w:tc>
          <w:tcPr>
            <w:tcW w:w="1743" w:type="dxa"/>
            <w:tcBorders>
              <w:top w:val="dotted" w:sz="2" w:space="0" w:color="000000"/>
              <w:left w:val="nil"/>
              <w:bottom w:val="dotted" w:sz="2" w:space="0" w:color="000000"/>
            </w:tcBorders>
          </w:tcPr>
          <w:p w14:paraId="6DF824C8" w14:textId="77777777" w:rsidR="000E7C14" w:rsidRDefault="000E7C14">
            <w:pPr>
              <w:rPr>
                <w:rFonts w:ascii="Arial"/>
              </w:rPr>
            </w:pPr>
          </w:p>
        </w:tc>
        <w:tc>
          <w:tcPr>
            <w:tcW w:w="1913" w:type="dxa"/>
            <w:tcBorders>
              <w:top w:val="dotted" w:sz="2" w:space="0" w:color="000000"/>
              <w:bottom w:val="dotted" w:sz="2" w:space="0" w:color="000000"/>
            </w:tcBorders>
          </w:tcPr>
          <w:p w14:paraId="4121CA84" w14:textId="77777777" w:rsidR="000E7C14" w:rsidRDefault="000E7C14">
            <w:pPr>
              <w:rPr>
                <w:rFonts w:ascii="Arial"/>
              </w:rPr>
            </w:pPr>
          </w:p>
        </w:tc>
        <w:tc>
          <w:tcPr>
            <w:tcW w:w="1500" w:type="dxa"/>
            <w:tcBorders>
              <w:top w:val="dotted" w:sz="2" w:space="0" w:color="000000"/>
              <w:bottom w:val="dotted" w:sz="2" w:space="0" w:color="000000"/>
            </w:tcBorders>
          </w:tcPr>
          <w:p w14:paraId="060E7F18" w14:textId="77777777" w:rsidR="000E7C14" w:rsidRDefault="000E7C14">
            <w:pPr>
              <w:rPr>
                <w:rFonts w:ascii="Arial"/>
              </w:rPr>
            </w:pPr>
          </w:p>
        </w:tc>
        <w:tc>
          <w:tcPr>
            <w:tcW w:w="4755" w:type="dxa"/>
            <w:gridSpan w:val="3"/>
            <w:tcBorders>
              <w:top w:val="dotted" w:sz="2" w:space="0" w:color="000000"/>
              <w:bottom w:val="dotted" w:sz="2" w:space="0" w:color="000000"/>
              <w:right w:val="nil"/>
            </w:tcBorders>
          </w:tcPr>
          <w:p w14:paraId="79FC1E74" w14:textId="77777777" w:rsidR="000E7C14" w:rsidRDefault="000E7C14">
            <w:pPr>
              <w:rPr>
                <w:rFonts w:ascii="Arial"/>
              </w:rPr>
            </w:pPr>
          </w:p>
        </w:tc>
      </w:tr>
      <w:tr w:rsidR="000E7C14" w14:paraId="3808F2D4" w14:textId="77777777" w:rsidTr="003F5097">
        <w:trPr>
          <w:trHeight w:val="458"/>
        </w:trPr>
        <w:tc>
          <w:tcPr>
            <w:tcW w:w="1743" w:type="dxa"/>
            <w:tcBorders>
              <w:top w:val="dotted" w:sz="2" w:space="0" w:color="000000"/>
              <w:left w:val="nil"/>
              <w:bottom w:val="dotted" w:sz="2" w:space="0" w:color="000000"/>
            </w:tcBorders>
          </w:tcPr>
          <w:p w14:paraId="026EBA0B" w14:textId="77777777" w:rsidR="000E7C14" w:rsidRDefault="000E7C14">
            <w:pPr>
              <w:rPr>
                <w:rFonts w:ascii="Arial"/>
              </w:rPr>
            </w:pPr>
          </w:p>
        </w:tc>
        <w:tc>
          <w:tcPr>
            <w:tcW w:w="1913" w:type="dxa"/>
            <w:tcBorders>
              <w:top w:val="dotted" w:sz="2" w:space="0" w:color="000000"/>
              <w:bottom w:val="dotted" w:sz="2" w:space="0" w:color="000000"/>
            </w:tcBorders>
          </w:tcPr>
          <w:p w14:paraId="0E285744" w14:textId="77777777" w:rsidR="000E7C14" w:rsidRDefault="000E7C14">
            <w:pPr>
              <w:rPr>
                <w:rFonts w:ascii="Arial"/>
              </w:rPr>
            </w:pPr>
          </w:p>
        </w:tc>
        <w:tc>
          <w:tcPr>
            <w:tcW w:w="1500" w:type="dxa"/>
            <w:tcBorders>
              <w:top w:val="dotted" w:sz="2" w:space="0" w:color="000000"/>
              <w:bottom w:val="dotted" w:sz="2" w:space="0" w:color="000000"/>
            </w:tcBorders>
          </w:tcPr>
          <w:p w14:paraId="75A0F55C" w14:textId="77777777" w:rsidR="000E7C14" w:rsidRDefault="000E7C14">
            <w:pPr>
              <w:rPr>
                <w:rFonts w:ascii="Arial"/>
              </w:rPr>
            </w:pPr>
          </w:p>
        </w:tc>
        <w:tc>
          <w:tcPr>
            <w:tcW w:w="4755" w:type="dxa"/>
            <w:gridSpan w:val="3"/>
            <w:tcBorders>
              <w:top w:val="dotted" w:sz="2" w:space="0" w:color="000000"/>
              <w:bottom w:val="dotted" w:sz="2" w:space="0" w:color="000000"/>
              <w:right w:val="nil"/>
            </w:tcBorders>
          </w:tcPr>
          <w:p w14:paraId="51DACD62" w14:textId="77777777" w:rsidR="000E7C14" w:rsidRDefault="000E7C14">
            <w:pPr>
              <w:rPr>
                <w:rFonts w:ascii="Arial"/>
              </w:rPr>
            </w:pPr>
          </w:p>
        </w:tc>
      </w:tr>
      <w:tr w:rsidR="000E7C14" w14:paraId="6C975FCF" w14:textId="77777777" w:rsidTr="003F5097">
        <w:trPr>
          <w:trHeight w:val="460"/>
        </w:trPr>
        <w:tc>
          <w:tcPr>
            <w:tcW w:w="1743" w:type="dxa"/>
            <w:tcBorders>
              <w:top w:val="dotted" w:sz="2" w:space="0" w:color="000000"/>
              <w:left w:val="nil"/>
              <w:bottom w:val="dotted" w:sz="2" w:space="0" w:color="000000"/>
            </w:tcBorders>
          </w:tcPr>
          <w:p w14:paraId="13705CE5" w14:textId="77777777" w:rsidR="000E7C14" w:rsidRDefault="000E7C14">
            <w:pPr>
              <w:rPr>
                <w:rFonts w:ascii="Arial"/>
              </w:rPr>
            </w:pPr>
          </w:p>
        </w:tc>
        <w:tc>
          <w:tcPr>
            <w:tcW w:w="1913" w:type="dxa"/>
            <w:tcBorders>
              <w:top w:val="dotted" w:sz="2" w:space="0" w:color="000000"/>
              <w:bottom w:val="dotted" w:sz="2" w:space="0" w:color="000000"/>
            </w:tcBorders>
          </w:tcPr>
          <w:p w14:paraId="1B86AD9C" w14:textId="77777777" w:rsidR="000E7C14" w:rsidRDefault="000E7C14">
            <w:pPr>
              <w:rPr>
                <w:rFonts w:ascii="Arial"/>
              </w:rPr>
            </w:pPr>
          </w:p>
        </w:tc>
        <w:tc>
          <w:tcPr>
            <w:tcW w:w="1500" w:type="dxa"/>
            <w:tcBorders>
              <w:top w:val="dotted" w:sz="2" w:space="0" w:color="000000"/>
              <w:bottom w:val="dotted" w:sz="2" w:space="0" w:color="000000"/>
            </w:tcBorders>
          </w:tcPr>
          <w:p w14:paraId="7B503B4D" w14:textId="77777777" w:rsidR="000E7C14" w:rsidRDefault="000E7C14">
            <w:pPr>
              <w:rPr>
                <w:rFonts w:ascii="Arial"/>
              </w:rPr>
            </w:pPr>
          </w:p>
        </w:tc>
        <w:tc>
          <w:tcPr>
            <w:tcW w:w="4755" w:type="dxa"/>
            <w:gridSpan w:val="3"/>
            <w:tcBorders>
              <w:top w:val="dotted" w:sz="2" w:space="0" w:color="000000"/>
              <w:bottom w:val="dotted" w:sz="2" w:space="0" w:color="000000"/>
              <w:right w:val="nil"/>
            </w:tcBorders>
          </w:tcPr>
          <w:p w14:paraId="2B14D255" w14:textId="77777777" w:rsidR="000E7C14" w:rsidRDefault="000E7C14">
            <w:pPr>
              <w:rPr>
                <w:rFonts w:ascii="Arial"/>
              </w:rPr>
            </w:pPr>
          </w:p>
        </w:tc>
      </w:tr>
      <w:tr w:rsidR="000E7C14" w14:paraId="6BBD85F4" w14:textId="77777777" w:rsidTr="003F5097">
        <w:trPr>
          <w:trHeight w:val="458"/>
        </w:trPr>
        <w:tc>
          <w:tcPr>
            <w:tcW w:w="1743" w:type="dxa"/>
            <w:tcBorders>
              <w:top w:val="dotted" w:sz="2" w:space="0" w:color="000000"/>
              <w:left w:val="nil"/>
              <w:bottom w:val="dotted" w:sz="2" w:space="0" w:color="000000"/>
            </w:tcBorders>
          </w:tcPr>
          <w:p w14:paraId="0114BEC7" w14:textId="77777777" w:rsidR="000E7C14" w:rsidRDefault="000E7C14">
            <w:pPr>
              <w:rPr>
                <w:rFonts w:ascii="Arial"/>
              </w:rPr>
            </w:pPr>
          </w:p>
        </w:tc>
        <w:tc>
          <w:tcPr>
            <w:tcW w:w="1913" w:type="dxa"/>
            <w:tcBorders>
              <w:top w:val="dotted" w:sz="2" w:space="0" w:color="000000"/>
              <w:bottom w:val="dotted" w:sz="2" w:space="0" w:color="000000"/>
            </w:tcBorders>
          </w:tcPr>
          <w:p w14:paraId="05640B1C" w14:textId="77777777" w:rsidR="000E7C14" w:rsidRDefault="000E7C14">
            <w:pPr>
              <w:rPr>
                <w:rFonts w:ascii="Arial"/>
              </w:rPr>
            </w:pPr>
          </w:p>
        </w:tc>
        <w:tc>
          <w:tcPr>
            <w:tcW w:w="1500" w:type="dxa"/>
            <w:tcBorders>
              <w:top w:val="dotted" w:sz="2" w:space="0" w:color="000000"/>
              <w:bottom w:val="dotted" w:sz="2" w:space="0" w:color="000000"/>
            </w:tcBorders>
          </w:tcPr>
          <w:p w14:paraId="33D1FE78" w14:textId="77777777" w:rsidR="000E7C14" w:rsidRDefault="000E7C14">
            <w:pPr>
              <w:rPr>
                <w:rFonts w:ascii="Arial"/>
              </w:rPr>
            </w:pPr>
          </w:p>
        </w:tc>
        <w:tc>
          <w:tcPr>
            <w:tcW w:w="4755" w:type="dxa"/>
            <w:gridSpan w:val="3"/>
            <w:tcBorders>
              <w:top w:val="dotted" w:sz="2" w:space="0" w:color="000000"/>
              <w:bottom w:val="dotted" w:sz="2" w:space="0" w:color="000000"/>
              <w:right w:val="nil"/>
            </w:tcBorders>
          </w:tcPr>
          <w:p w14:paraId="76CFBB07" w14:textId="77777777" w:rsidR="000E7C14" w:rsidRDefault="000E7C14">
            <w:pPr>
              <w:rPr>
                <w:rFonts w:ascii="Arial"/>
              </w:rPr>
            </w:pPr>
          </w:p>
        </w:tc>
      </w:tr>
      <w:tr w:rsidR="000E7C14" w14:paraId="5985D6DB" w14:textId="77777777" w:rsidTr="003F5097">
        <w:trPr>
          <w:trHeight w:val="458"/>
        </w:trPr>
        <w:tc>
          <w:tcPr>
            <w:tcW w:w="1743" w:type="dxa"/>
            <w:tcBorders>
              <w:top w:val="dotted" w:sz="2" w:space="0" w:color="000000"/>
              <w:left w:val="nil"/>
              <w:bottom w:val="dotted" w:sz="2" w:space="0" w:color="000000"/>
            </w:tcBorders>
          </w:tcPr>
          <w:p w14:paraId="45D91E5F" w14:textId="77777777" w:rsidR="000E7C14" w:rsidRDefault="000E7C14">
            <w:pPr>
              <w:rPr>
                <w:rFonts w:ascii="Arial"/>
              </w:rPr>
            </w:pPr>
          </w:p>
        </w:tc>
        <w:tc>
          <w:tcPr>
            <w:tcW w:w="1913" w:type="dxa"/>
            <w:tcBorders>
              <w:top w:val="dotted" w:sz="2" w:space="0" w:color="000000"/>
              <w:bottom w:val="dotted" w:sz="2" w:space="0" w:color="000000"/>
            </w:tcBorders>
          </w:tcPr>
          <w:p w14:paraId="79C201CE" w14:textId="77777777" w:rsidR="000E7C14" w:rsidRDefault="000E7C14">
            <w:pPr>
              <w:rPr>
                <w:rFonts w:ascii="Arial"/>
              </w:rPr>
            </w:pPr>
          </w:p>
        </w:tc>
        <w:tc>
          <w:tcPr>
            <w:tcW w:w="1500" w:type="dxa"/>
            <w:tcBorders>
              <w:top w:val="dotted" w:sz="2" w:space="0" w:color="000000"/>
              <w:bottom w:val="dotted" w:sz="2" w:space="0" w:color="000000"/>
            </w:tcBorders>
          </w:tcPr>
          <w:p w14:paraId="64AB7D25" w14:textId="77777777" w:rsidR="000E7C14" w:rsidRDefault="000E7C14">
            <w:pPr>
              <w:rPr>
                <w:rFonts w:ascii="Arial"/>
              </w:rPr>
            </w:pPr>
          </w:p>
        </w:tc>
        <w:tc>
          <w:tcPr>
            <w:tcW w:w="4755" w:type="dxa"/>
            <w:gridSpan w:val="3"/>
            <w:tcBorders>
              <w:top w:val="dotted" w:sz="2" w:space="0" w:color="000000"/>
              <w:bottom w:val="dotted" w:sz="2" w:space="0" w:color="000000"/>
              <w:right w:val="nil"/>
            </w:tcBorders>
          </w:tcPr>
          <w:p w14:paraId="6F33B3DC" w14:textId="77777777" w:rsidR="000E7C14" w:rsidRDefault="000E7C14">
            <w:pPr>
              <w:rPr>
                <w:rFonts w:ascii="Arial"/>
              </w:rPr>
            </w:pPr>
          </w:p>
        </w:tc>
      </w:tr>
      <w:tr w:rsidR="000E7C14" w14:paraId="6B6B683F" w14:textId="77777777" w:rsidTr="003F5097">
        <w:trPr>
          <w:trHeight w:val="460"/>
        </w:trPr>
        <w:tc>
          <w:tcPr>
            <w:tcW w:w="1743" w:type="dxa"/>
            <w:tcBorders>
              <w:top w:val="dotted" w:sz="2" w:space="0" w:color="000000"/>
              <w:left w:val="nil"/>
              <w:bottom w:val="dotted" w:sz="2" w:space="0" w:color="000000"/>
            </w:tcBorders>
          </w:tcPr>
          <w:p w14:paraId="1BDC23E8" w14:textId="77777777" w:rsidR="000E7C14" w:rsidRDefault="000E7C14">
            <w:pPr>
              <w:rPr>
                <w:rFonts w:ascii="Arial"/>
              </w:rPr>
            </w:pPr>
          </w:p>
        </w:tc>
        <w:tc>
          <w:tcPr>
            <w:tcW w:w="1913" w:type="dxa"/>
            <w:tcBorders>
              <w:top w:val="dotted" w:sz="2" w:space="0" w:color="000000"/>
              <w:bottom w:val="dotted" w:sz="2" w:space="0" w:color="000000"/>
            </w:tcBorders>
          </w:tcPr>
          <w:p w14:paraId="67B10908" w14:textId="77777777" w:rsidR="000E7C14" w:rsidRDefault="000E7C14">
            <w:pPr>
              <w:rPr>
                <w:rFonts w:ascii="Arial"/>
              </w:rPr>
            </w:pPr>
          </w:p>
        </w:tc>
        <w:tc>
          <w:tcPr>
            <w:tcW w:w="1500" w:type="dxa"/>
            <w:tcBorders>
              <w:top w:val="dotted" w:sz="2" w:space="0" w:color="000000"/>
              <w:bottom w:val="dotted" w:sz="2" w:space="0" w:color="000000"/>
            </w:tcBorders>
          </w:tcPr>
          <w:p w14:paraId="39B0A27B" w14:textId="77777777" w:rsidR="000E7C14" w:rsidRDefault="000E7C14">
            <w:pPr>
              <w:rPr>
                <w:rFonts w:ascii="Arial"/>
              </w:rPr>
            </w:pPr>
          </w:p>
        </w:tc>
        <w:tc>
          <w:tcPr>
            <w:tcW w:w="4755" w:type="dxa"/>
            <w:gridSpan w:val="3"/>
            <w:tcBorders>
              <w:top w:val="dotted" w:sz="2" w:space="0" w:color="000000"/>
              <w:bottom w:val="dotted" w:sz="2" w:space="0" w:color="000000"/>
              <w:right w:val="nil"/>
            </w:tcBorders>
          </w:tcPr>
          <w:p w14:paraId="186BA62B" w14:textId="77777777" w:rsidR="000E7C14" w:rsidRDefault="000E7C14">
            <w:pPr>
              <w:rPr>
                <w:rFonts w:ascii="Arial"/>
              </w:rPr>
            </w:pPr>
          </w:p>
        </w:tc>
      </w:tr>
      <w:tr w:rsidR="000E7C14" w14:paraId="43B3886E" w14:textId="77777777" w:rsidTr="003F5097">
        <w:trPr>
          <w:trHeight w:val="463"/>
        </w:trPr>
        <w:tc>
          <w:tcPr>
            <w:tcW w:w="1743" w:type="dxa"/>
            <w:tcBorders>
              <w:top w:val="dotted" w:sz="2" w:space="0" w:color="000000"/>
              <w:left w:val="nil"/>
            </w:tcBorders>
          </w:tcPr>
          <w:p w14:paraId="19B76408" w14:textId="77777777" w:rsidR="000E7C14" w:rsidRDefault="000E7C14">
            <w:pPr>
              <w:rPr>
                <w:rFonts w:ascii="Arial"/>
              </w:rPr>
            </w:pPr>
          </w:p>
        </w:tc>
        <w:tc>
          <w:tcPr>
            <w:tcW w:w="1913" w:type="dxa"/>
            <w:tcBorders>
              <w:top w:val="dotted" w:sz="2" w:space="0" w:color="000000"/>
            </w:tcBorders>
          </w:tcPr>
          <w:p w14:paraId="244D8570" w14:textId="77777777" w:rsidR="000E7C14" w:rsidRDefault="000E7C14">
            <w:pPr>
              <w:rPr>
                <w:rFonts w:ascii="Arial"/>
              </w:rPr>
            </w:pPr>
          </w:p>
        </w:tc>
        <w:tc>
          <w:tcPr>
            <w:tcW w:w="1500" w:type="dxa"/>
            <w:tcBorders>
              <w:top w:val="dotted" w:sz="2" w:space="0" w:color="000000"/>
            </w:tcBorders>
          </w:tcPr>
          <w:p w14:paraId="5AACDD04" w14:textId="77777777" w:rsidR="000E7C14" w:rsidRDefault="000E7C14">
            <w:pPr>
              <w:rPr>
                <w:rFonts w:ascii="Arial"/>
              </w:rPr>
            </w:pPr>
          </w:p>
        </w:tc>
        <w:tc>
          <w:tcPr>
            <w:tcW w:w="4755" w:type="dxa"/>
            <w:gridSpan w:val="3"/>
            <w:tcBorders>
              <w:top w:val="dotted" w:sz="2" w:space="0" w:color="000000"/>
              <w:right w:val="nil"/>
            </w:tcBorders>
          </w:tcPr>
          <w:p w14:paraId="45BC97F0" w14:textId="77777777" w:rsidR="000E7C14" w:rsidRDefault="000E7C14">
            <w:pPr>
              <w:rPr>
                <w:rFonts w:ascii="Arial"/>
              </w:rPr>
            </w:pPr>
          </w:p>
        </w:tc>
      </w:tr>
      <w:tr w:rsidR="000E7C14" w14:paraId="3ECB66F4" w14:textId="77777777" w:rsidTr="003F5097">
        <w:trPr>
          <w:trHeight w:val="673"/>
        </w:trPr>
        <w:tc>
          <w:tcPr>
            <w:tcW w:w="1743" w:type="dxa"/>
            <w:tcBorders>
              <w:left w:val="nil"/>
            </w:tcBorders>
          </w:tcPr>
          <w:p w14:paraId="029C51CA" w14:textId="77777777" w:rsidR="000E7C14" w:rsidRDefault="00000000">
            <w:pPr>
              <w:spacing w:before="223" w:line="220" w:lineRule="auto"/>
              <w:ind w:left="325"/>
              <w:rPr>
                <w:rFonts w:ascii="宋体" w:eastAsia="宋体" w:hAnsi="宋体" w:cs="宋体" w:hint="eastAsia"/>
                <w:sz w:val="24"/>
                <w:szCs w:val="24"/>
              </w:rPr>
            </w:pPr>
            <w:r>
              <w:rPr>
                <w:rFonts w:ascii="宋体" w:eastAsia="宋体" w:hAnsi="宋体" w:cs="宋体"/>
                <w:spacing w:val="-3"/>
                <w:sz w:val="24"/>
                <w:szCs w:val="24"/>
              </w:rPr>
              <w:t>编</w:t>
            </w:r>
            <w:r>
              <w:rPr>
                <w:rFonts w:ascii="宋体" w:eastAsia="宋体" w:hAnsi="宋体" w:cs="宋体"/>
                <w:spacing w:val="-2"/>
                <w:sz w:val="24"/>
                <w:szCs w:val="24"/>
              </w:rPr>
              <w:t>制部门</w:t>
            </w:r>
          </w:p>
        </w:tc>
        <w:tc>
          <w:tcPr>
            <w:tcW w:w="1913" w:type="dxa"/>
          </w:tcPr>
          <w:p w14:paraId="7ADD116E" w14:textId="77777777" w:rsidR="000E7C14" w:rsidRDefault="00000000" w:rsidP="003F5097">
            <w:pPr>
              <w:spacing w:before="223" w:line="220" w:lineRule="auto"/>
              <w:jc w:val="center"/>
              <w:rPr>
                <w:rFonts w:ascii="宋体" w:eastAsia="宋体" w:hAnsi="宋体" w:cs="宋体" w:hint="eastAsia"/>
                <w:sz w:val="24"/>
                <w:szCs w:val="24"/>
              </w:rPr>
            </w:pPr>
            <w:r>
              <w:rPr>
                <w:rFonts w:ascii="宋体" w:eastAsia="宋体" w:hAnsi="宋体" w:cs="宋体"/>
                <w:spacing w:val="-4"/>
                <w:sz w:val="24"/>
                <w:szCs w:val="24"/>
              </w:rPr>
              <w:t>教</w:t>
            </w:r>
            <w:r>
              <w:rPr>
                <w:rFonts w:ascii="宋体" w:eastAsia="宋体" w:hAnsi="宋体" w:cs="宋体"/>
                <w:spacing w:val="-3"/>
                <w:sz w:val="24"/>
                <w:szCs w:val="24"/>
              </w:rPr>
              <w:t>务</w:t>
            </w:r>
            <w:r>
              <w:rPr>
                <w:rFonts w:ascii="宋体" w:eastAsia="宋体" w:hAnsi="宋体" w:cs="宋体"/>
                <w:spacing w:val="-2"/>
                <w:sz w:val="24"/>
                <w:szCs w:val="24"/>
              </w:rPr>
              <w:t>处</w:t>
            </w:r>
          </w:p>
        </w:tc>
        <w:tc>
          <w:tcPr>
            <w:tcW w:w="1500" w:type="dxa"/>
          </w:tcPr>
          <w:p w14:paraId="5756CE42" w14:textId="77777777" w:rsidR="000E7C14" w:rsidRDefault="00000000">
            <w:pPr>
              <w:spacing w:before="223" w:line="220" w:lineRule="auto"/>
              <w:ind w:left="334"/>
              <w:rPr>
                <w:rFonts w:ascii="宋体" w:eastAsia="宋体" w:hAnsi="宋体" w:cs="宋体" w:hint="eastAsia"/>
                <w:sz w:val="24"/>
                <w:szCs w:val="24"/>
              </w:rPr>
            </w:pPr>
            <w:r>
              <w:rPr>
                <w:rFonts w:ascii="宋体" w:eastAsia="宋体" w:hAnsi="宋体" w:cs="宋体"/>
                <w:spacing w:val="-3"/>
                <w:sz w:val="24"/>
                <w:szCs w:val="24"/>
              </w:rPr>
              <w:t>编</w:t>
            </w:r>
            <w:r>
              <w:rPr>
                <w:rFonts w:ascii="宋体" w:eastAsia="宋体" w:hAnsi="宋体" w:cs="宋体" w:hint="eastAsia"/>
                <w:spacing w:val="-3"/>
                <w:sz w:val="24"/>
                <w:szCs w:val="24"/>
              </w:rPr>
              <w:t xml:space="preserve">   </w:t>
            </w:r>
            <w:r>
              <w:rPr>
                <w:rFonts w:ascii="宋体" w:eastAsia="宋体" w:hAnsi="宋体" w:cs="宋体"/>
                <w:spacing w:val="-3"/>
                <w:sz w:val="24"/>
                <w:szCs w:val="24"/>
              </w:rPr>
              <w:t>制</w:t>
            </w:r>
          </w:p>
        </w:tc>
        <w:tc>
          <w:tcPr>
            <w:tcW w:w="1600" w:type="dxa"/>
          </w:tcPr>
          <w:p w14:paraId="57F79AC8" w14:textId="77777777" w:rsidR="000E7C14" w:rsidRDefault="00000000">
            <w:pPr>
              <w:spacing w:before="223" w:line="219" w:lineRule="auto"/>
              <w:ind w:left="425"/>
              <w:rPr>
                <w:rFonts w:ascii="宋体" w:eastAsia="宋体" w:hAnsi="宋体" w:cs="宋体" w:hint="eastAsia"/>
                <w:sz w:val="24"/>
                <w:szCs w:val="24"/>
              </w:rPr>
            </w:pPr>
            <w:proofErr w:type="gramStart"/>
            <w:r>
              <w:rPr>
                <w:rFonts w:ascii="宋体" w:eastAsia="宋体" w:hAnsi="宋体" w:cs="宋体" w:hint="eastAsia"/>
                <w:sz w:val="24"/>
                <w:szCs w:val="24"/>
              </w:rPr>
              <w:t>张萍华</w:t>
            </w:r>
            <w:proofErr w:type="gramEnd"/>
          </w:p>
        </w:tc>
        <w:tc>
          <w:tcPr>
            <w:tcW w:w="1537" w:type="dxa"/>
          </w:tcPr>
          <w:p w14:paraId="581E1D2D" w14:textId="77777777" w:rsidR="000E7C14" w:rsidRDefault="00000000">
            <w:pPr>
              <w:spacing w:before="224" w:line="220" w:lineRule="auto"/>
              <w:ind w:left="360"/>
              <w:rPr>
                <w:rFonts w:ascii="宋体" w:eastAsia="宋体" w:hAnsi="宋体" w:cs="宋体" w:hint="eastAsia"/>
                <w:sz w:val="24"/>
                <w:szCs w:val="24"/>
              </w:rPr>
            </w:pPr>
            <w:r>
              <w:rPr>
                <w:rFonts w:ascii="宋体" w:eastAsia="宋体" w:hAnsi="宋体" w:cs="宋体"/>
                <w:spacing w:val="-5"/>
                <w:sz w:val="24"/>
                <w:szCs w:val="24"/>
              </w:rPr>
              <w:t>审</w:t>
            </w:r>
            <w:r>
              <w:rPr>
                <w:rFonts w:ascii="宋体" w:eastAsia="宋体" w:hAnsi="宋体" w:cs="宋体" w:hint="eastAsia"/>
                <w:spacing w:val="-5"/>
                <w:sz w:val="24"/>
                <w:szCs w:val="24"/>
              </w:rPr>
              <w:t xml:space="preserve">   </w:t>
            </w:r>
            <w:r>
              <w:rPr>
                <w:rFonts w:ascii="宋体" w:eastAsia="宋体" w:hAnsi="宋体" w:cs="宋体"/>
                <w:spacing w:val="-4"/>
                <w:sz w:val="24"/>
                <w:szCs w:val="24"/>
              </w:rPr>
              <w:t>核</w:t>
            </w:r>
          </w:p>
        </w:tc>
        <w:tc>
          <w:tcPr>
            <w:tcW w:w="1618" w:type="dxa"/>
            <w:tcBorders>
              <w:right w:val="nil"/>
            </w:tcBorders>
          </w:tcPr>
          <w:p w14:paraId="531064D7" w14:textId="77777777" w:rsidR="000E7C14" w:rsidRDefault="00000000">
            <w:pPr>
              <w:spacing w:before="223" w:line="220" w:lineRule="auto"/>
              <w:ind w:left="595"/>
              <w:rPr>
                <w:rFonts w:ascii="宋体" w:eastAsia="宋体" w:hAnsi="宋体" w:cs="宋体" w:hint="eastAsia"/>
                <w:sz w:val="24"/>
                <w:szCs w:val="24"/>
              </w:rPr>
            </w:pPr>
            <w:proofErr w:type="gramStart"/>
            <w:r>
              <w:rPr>
                <w:rFonts w:ascii="宋体" w:eastAsia="宋体" w:hAnsi="宋体" w:cs="宋体" w:hint="eastAsia"/>
                <w:spacing w:val="-3"/>
                <w:sz w:val="24"/>
                <w:szCs w:val="24"/>
              </w:rPr>
              <w:t>赵雷洪</w:t>
            </w:r>
            <w:proofErr w:type="gramEnd"/>
          </w:p>
        </w:tc>
      </w:tr>
      <w:tr w:rsidR="000E7C14" w14:paraId="567722F9" w14:textId="77777777" w:rsidTr="003F5097">
        <w:trPr>
          <w:trHeight w:val="681"/>
        </w:trPr>
        <w:tc>
          <w:tcPr>
            <w:tcW w:w="1743" w:type="dxa"/>
            <w:tcBorders>
              <w:left w:val="nil"/>
            </w:tcBorders>
          </w:tcPr>
          <w:p w14:paraId="31EDAFEC" w14:textId="77777777" w:rsidR="000E7C14" w:rsidRDefault="00000000">
            <w:pPr>
              <w:spacing w:before="208" w:line="220" w:lineRule="auto"/>
              <w:ind w:left="204"/>
              <w:rPr>
                <w:rFonts w:ascii="宋体" w:eastAsia="宋体" w:hAnsi="宋体" w:cs="宋体" w:hint="eastAsia"/>
                <w:sz w:val="24"/>
                <w:szCs w:val="24"/>
              </w:rPr>
            </w:pPr>
            <w:r>
              <w:rPr>
                <w:rFonts w:ascii="宋体" w:eastAsia="宋体" w:hAnsi="宋体" w:cs="宋体"/>
                <w:spacing w:val="-2"/>
                <w:sz w:val="24"/>
                <w:szCs w:val="24"/>
              </w:rPr>
              <w:t>规划质量</w:t>
            </w:r>
            <w:r>
              <w:rPr>
                <w:rFonts w:ascii="宋体" w:eastAsia="宋体" w:hAnsi="宋体" w:cs="宋体"/>
                <w:spacing w:val="-1"/>
                <w:sz w:val="24"/>
                <w:szCs w:val="24"/>
              </w:rPr>
              <w:t>办</w:t>
            </w:r>
          </w:p>
        </w:tc>
        <w:tc>
          <w:tcPr>
            <w:tcW w:w="1913" w:type="dxa"/>
          </w:tcPr>
          <w:p w14:paraId="1C54635E" w14:textId="77777777" w:rsidR="000E7C14" w:rsidRDefault="00000000" w:rsidP="003F5097">
            <w:pPr>
              <w:spacing w:before="208" w:line="219" w:lineRule="auto"/>
              <w:jc w:val="center"/>
              <w:rPr>
                <w:rFonts w:ascii="宋体" w:eastAsia="宋体" w:hAnsi="宋体" w:cs="宋体" w:hint="eastAsia"/>
                <w:sz w:val="24"/>
                <w:szCs w:val="24"/>
              </w:rPr>
            </w:pPr>
            <w:r>
              <w:rPr>
                <w:rFonts w:ascii="宋体" w:eastAsia="宋体" w:hAnsi="宋体" w:cs="宋体" w:hint="eastAsia"/>
                <w:spacing w:val="-12"/>
                <w:sz w:val="24"/>
                <w:szCs w:val="24"/>
              </w:rPr>
              <w:t>施红霞</w:t>
            </w:r>
          </w:p>
        </w:tc>
        <w:tc>
          <w:tcPr>
            <w:tcW w:w="3100" w:type="dxa"/>
            <w:gridSpan w:val="2"/>
          </w:tcPr>
          <w:p w14:paraId="4114AA6A" w14:textId="77777777" w:rsidR="000E7C14" w:rsidRDefault="00000000">
            <w:pPr>
              <w:spacing w:before="209" w:line="220" w:lineRule="auto"/>
              <w:ind w:left="756"/>
              <w:rPr>
                <w:rFonts w:ascii="宋体" w:eastAsia="宋体" w:hAnsi="宋体" w:cs="宋体" w:hint="eastAsia"/>
                <w:sz w:val="24"/>
                <w:szCs w:val="24"/>
              </w:rPr>
            </w:pPr>
            <w:r>
              <w:rPr>
                <w:rFonts w:ascii="宋体" w:eastAsia="宋体" w:hAnsi="宋体" w:cs="宋体"/>
                <w:spacing w:val="-3"/>
                <w:sz w:val="24"/>
                <w:szCs w:val="24"/>
              </w:rPr>
              <w:t>首</w:t>
            </w:r>
            <w:r>
              <w:rPr>
                <w:rFonts w:ascii="宋体" w:eastAsia="宋体" w:hAnsi="宋体" w:cs="宋体"/>
                <w:spacing w:val="-2"/>
                <w:sz w:val="24"/>
                <w:szCs w:val="24"/>
              </w:rPr>
              <w:t>席质量官</w:t>
            </w:r>
          </w:p>
        </w:tc>
        <w:tc>
          <w:tcPr>
            <w:tcW w:w="3155" w:type="dxa"/>
            <w:gridSpan w:val="2"/>
            <w:tcBorders>
              <w:right w:val="nil"/>
            </w:tcBorders>
          </w:tcPr>
          <w:p w14:paraId="0ACD696F" w14:textId="77777777" w:rsidR="000E7C14" w:rsidRDefault="00000000">
            <w:pPr>
              <w:spacing w:before="208" w:line="219" w:lineRule="auto"/>
              <w:ind w:left="1059"/>
              <w:rPr>
                <w:rFonts w:ascii="宋体" w:eastAsia="宋体" w:hAnsi="宋体" w:cs="宋体" w:hint="eastAsia"/>
                <w:sz w:val="24"/>
                <w:szCs w:val="24"/>
              </w:rPr>
            </w:pPr>
            <w:r>
              <w:rPr>
                <w:rFonts w:ascii="宋体" w:eastAsia="宋体" w:hAnsi="宋体" w:cs="宋体" w:hint="eastAsia"/>
                <w:spacing w:val="-3"/>
                <w:sz w:val="24"/>
                <w:szCs w:val="24"/>
              </w:rPr>
              <w:t>陈峥</w:t>
            </w:r>
          </w:p>
        </w:tc>
      </w:tr>
    </w:tbl>
    <w:p w14:paraId="6EB452D2" w14:textId="77777777" w:rsidR="000E7C14" w:rsidRDefault="000E7C14"/>
    <w:tbl>
      <w:tblPr>
        <w:tblStyle w:val="aa"/>
        <w:tblW w:w="9911" w:type="dxa"/>
        <w:jc w:val="center"/>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2477"/>
        <w:gridCol w:w="7434"/>
      </w:tblGrid>
      <w:tr w:rsidR="000E7C14" w14:paraId="270E953A" w14:textId="77777777">
        <w:trPr>
          <w:trHeight w:val="487"/>
          <w:jc w:val="center"/>
        </w:trPr>
        <w:tc>
          <w:tcPr>
            <w:tcW w:w="2477" w:type="dxa"/>
            <w:vAlign w:val="center"/>
          </w:tcPr>
          <w:p w14:paraId="15D2C095" w14:textId="77777777" w:rsidR="000E7C14" w:rsidRDefault="00000000">
            <w:pPr>
              <w:jc w:val="center"/>
              <w:rPr>
                <w:sz w:val="24"/>
                <w:szCs w:val="24"/>
              </w:rPr>
            </w:pPr>
            <w:r>
              <w:rPr>
                <w:rFonts w:hint="eastAsia"/>
                <w:sz w:val="24"/>
                <w:szCs w:val="24"/>
              </w:rPr>
              <w:t>发放范围</w:t>
            </w:r>
          </w:p>
        </w:tc>
        <w:tc>
          <w:tcPr>
            <w:tcW w:w="7434" w:type="dxa"/>
            <w:vAlign w:val="center"/>
          </w:tcPr>
          <w:p w14:paraId="5132DB29" w14:textId="77777777" w:rsidR="000E7C14" w:rsidRDefault="00000000">
            <w:pPr>
              <w:rPr>
                <w:sz w:val="24"/>
                <w:szCs w:val="24"/>
              </w:rPr>
            </w:pPr>
            <w:r>
              <w:rPr>
                <w:rFonts w:hint="eastAsia"/>
                <w:sz w:val="24"/>
                <w:szCs w:val="24"/>
              </w:rPr>
              <w:t>各二级学院、职能和业务部门</w:t>
            </w:r>
          </w:p>
        </w:tc>
      </w:tr>
    </w:tbl>
    <w:p w14:paraId="757FAA08" w14:textId="77777777" w:rsidR="000E7C14" w:rsidRDefault="000E7C14"/>
    <w:tbl>
      <w:tblPr>
        <w:tblStyle w:val="aa"/>
        <w:tblW w:w="9911" w:type="dxa"/>
        <w:jc w:val="center"/>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2477"/>
        <w:gridCol w:w="7434"/>
      </w:tblGrid>
      <w:tr w:rsidR="000E7C14" w14:paraId="2A93A9F4" w14:textId="77777777">
        <w:trPr>
          <w:trHeight w:val="851"/>
          <w:jc w:val="center"/>
        </w:trPr>
        <w:tc>
          <w:tcPr>
            <w:tcW w:w="2477" w:type="dxa"/>
            <w:vAlign w:val="center"/>
          </w:tcPr>
          <w:p w14:paraId="3DAAFE8D" w14:textId="77777777" w:rsidR="000E7C14" w:rsidRDefault="00000000">
            <w:pPr>
              <w:jc w:val="center"/>
              <w:rPr>
                <w:sz w:val="24"/>
                <w:szCs w:val="24"/>
              </w:rPr>
            </w:pPr>
            <w:r>
              <w:rPr>
                <w:rFonts w:hint="eastAsia"/>
                <w:sz w:val="24"/>
                <w:szCs w:val="24"/>
              </w:rPr>
              <w:t>批准人</w:t>
            </w:r>
          </w:p>
        </w:tc>
        <w:tc>
          <w:tcPr>
            <w:tcW w:w="7434" w:type="dxa"/>
            <w:vAlign w:val="center"/>
          </w:tcPr>
          <w:p w14:paraId="63F4349F" w14:textId="77777777" w:rsidR="000E7C14" w:rsidRDefault="00000000">
            <w:pPr>
              <w:jc w:val="center"/>
              <w:rPr>
                <w:sz w:val="24"/>
                <w:szCs w:val="24"/>
              </w:rPr>
            </w:pPr>
            <w:proofErr w:type="gramStart"/>
            <w:r>
              <w:rPr>
                <w:rFonts w:hint="eastAsia"/>
                <w:sz w:val="24"/>
                <w:szCs w:val="24"/>
              </w:rPr>
              <w:t>朱瑞庭</w:t>
            </w:r>
            <w:proofErr w:type="gramEnd"/>
          </w:p>
        </w:tc>
      </w:tr>
    </w:tbl>
    <w:p w14:paraId="7DEBC895" w14:textId="77777777" w:rsidR="000E7C14" w:rsidRDefault="00000000">
      <w:pPr>
        <w:pStyle w:val="4"/>
        <w:spacing w:line="360" w:lineRule="auto"/>
        <w:rPr>
          <w:rFonts w:ascii="宋体" w:hAnsi="宋体" w:cs="宋体" w:hint="eastAsia"/>
          <w:sz w:val="18"/>
          <w:szCs w:val="18"/>
        </w:rPr>
      </w:pPr>
      <w:r>
        <w:rPr>
          <w:rFonts w:ascii="宋体" w:hAnsi="宋体" w:cs="宋体" w:hint="eastAsia"/>
          <w:sz w:val="18"/>
          <w:szCs w:val="18"/>
        </w:rPr>
        <w:t>此文件为最新正式文件，此文件复印及印刷后属于非受控文件范畴。</w:t>
      </w:r>
    </w:p>
    <w:p w14:paraId="597AFF41" w14:textId="77777777" w:rsidR="000E7C14" w:rsidRDefault="000E7C14"/>
    <w:p w14:paraId="5E9F35A8" w14:textId="77777777" w:rsidR="000E7C14" w:rsidRDefault="00000000">
      <w:pPr>
        <w:widowControl/>
        <w:tabs>
          <w:tab w:val="right" w:pos="9921"/>
        </w:tabs>
        <w:jc w:val="left"/>
      </w:pPr>
      <w:r>
        <w:br w:type="page"/>
      </w:r>
      <w:r>
        <w:lastRenderedPageBreak/>
        <w:tab/>
      </w:r>
    </w:p>
    <w:p w14:paraId="1CDA4E17" w14:textId="77777777" w:rsidR="000E7C14" w:rsidRDefault="00000000">
      <w:pPr>
        <w:spacing w:line="360" w:lineRule="auto"/>
        <w:rPr>
          <w:b/>
          <w:sz w:val="24"/>
          <w:szCs w:val="24"/>
        </w:rPr>
      </w:pPr>
      <w:r>
        <w:rPr>
          <w:rFonts w:hint="eastAsia"/>
          <w:b/>
          <w:sz w:val="24"/>
          <w:szCs w:val="24"/>
        </w:rPr>
        <w:t>1</w:t>
      </w:r>
      <w:r>
        <w:rPr>
          <w:rFonts w:hint="eastAsia"/>
          <w:b/>
          <w:sz w:val="24"/>
          <w:szCs w:val="24"/>
        </w:rPr>
        <w:t>．目的</w:t>
      </w:r>
    </w:p>
    <w:p w14:paraId="2C203EDC" w14:textId="77777777" w:rsidR="000E7C14" w:rsidRDefault="00000000">
      <w:pPr>
        <w:spacing w:line="360" w:lineRule="auto"/>
        <w:ind w:firstLineChars="200" w:firstLine="480"/>
        <w:rPr>
          <w:color w:val="000000" w:themeColor="text1"/>
          <w:sz w:val="24"/>
          <w:szCs w:val="24"/>
        </w:rPr>
      </w:pPr>
      <w:r>
        <w:rPr>
          <w:rFonts w:hint="eastAsia"/>
          <w:color w:val="000000" w:themeColor="text1"/>
          <w:sz w:val="24"/>
          <w:szCs w:val="24"/>
        </w:rPr>
        <w:t>为了加强学校实验室（场地）安全管理，防止实验室安全事故的发生，确保广大师生的生命和财产安全。根据教育部《高等学校实验室安全规范》（教科</w:t>
      </w:r>
      <w:proofErr w:type="gramStart"/>
      <w:r>
        <w:rPr>
          <w:rFonts w:hint="eastAsia"/>
          <w:color w:val="000000" w:themeColor="text1"/>
          <w:sz w:val="24"/>
          <w:szCs w:val="24"/>
        </w:rPr>
        <w:t>信厅函</w:t>
      </w:r>
      <w:proofErr w:type="gramEnd"/>
      <w:r>
        <w:rPr>
          <w:rFonts w:hint="eastAsia"/>
          <w:color w:val="000000" w:themeColor="text1"/>
          <w:sz w:val="24"/>
          <w:szCs w:val="24"/>
        </w:rPr>
        <w:t>〔</w:t>
      </w:r>
      <w:r>
        <w:rPr>
          <w:rFonts w:hint="eastAsia"/>
          <w:color w:val="000000" w:themeColor="text1"/>
          <w:sz w:val="24"/>
          <w:szCs w:val="24"/>
        </w:rPr>
        <w:t>2023</w:t>
      </w:r>
      <w:r>
        <w:rPr>
          <w:rFonts w:hint="eastAsia"/>
          <w:color w:val="000000" w:themeColor="text1"/>
          <w:sz w:val="24"/>
          <w:szCs w:val="24"/>
        </w:rPr>
        <w:t>〕</w:t>
      </w:r>
      <w:r>
        <w:rPr>
          <w:rFonts w:hint="eastAsia"/>
          <w:color w:val="000000" w:themeColor="text1"/>
          <w:sz w:val="24"/>
          <w:szCs w:val="24"/>
        </w:rPr>
        <w:t>5</w:t>
      </w:r>
      <w:r>
        <w:rPr>
          <w:rFonts w:hint="eastAsia"/>
          <w:color w:val="000000" w:themeColor="text1"/>
          <w:sz w:val="24"/>
          <w:szCs w:val="24"/>
        </w:rPr>
        <w:t>号）要求，结合学校实验室的实际情况，制定本办法。</w:t>
      </w:r>
    </w:p>
    <w:p w14:paraId="5F7BF2E3" w14:textId="77777777" w:rsidR="000E7C14" w:rsidRDefault="000E7C14">
      <w:pPr>
        <w:spacing w:line="360" w:lineRule="auto"/>
        <w:ind w:firstLineChars="200" w:firstLine="480"/>
        <w:rPr>
          <w:sz w:val="24"/>
          <w:szCs w:val="24"/>
        </w:rPr>
      </w:pPr>
    </w:p>
    <w:p w14:paraId="3121DBC9" w14:textId="77777777" w:rsidR="000E7C14" w:rsidRDefault="00000000">
      <w:pPr>
        <w:spacing w:line="360" w:lineRule="auto"/>
        <w:rPr>
          <w:b/>
          <w:sz w:val="24"/>
          <w:szCs w:val="24"/>
        </w:rPr>
      </w:pPr>
      <w:r>
        <w:rPr>
          <w:rFonts w:hint="eastAsia"/>
          <w:b/>
          <w:sz w:val="24"/>
          <w:szCs w:val="24"/>
        </w:rPr>
        <w:t>2</w:t>
      </w:r>
      <w:r>
        <w:rPr>
          <w:rFonts w:hint="eastAsia"/>
          <w:b/>
          <w:sz w:val="24"/>
          <w:szCs w:val="24"/>
        </w:rPr>
        <w:t>．适用范围</w:t>
      </w:r>
    </w:p>
    <w:p w14:paraId="131107F2" w14:textId="77777777" w:rsidR="000E7C14" w:rsidRDefault="00000000">
      <w:pPr>
        <w:spacing w:line="360" w:lineRule="auto"/>
        <w:ind w:firstLineChars="200" w:firstLine="480"/>
        <w:rPr>
          <w:rFonts w:asciiTheme="minorEastAsia" w:hAnsiTheme="minorEastAsia" w:hint="eastAsia"/>
          <w:color w:val="000000" w:themeColor="text1"/>
          <w:sz w:val="24"/>
          <w:szCs w:val="24"/>
        </w:rPr>
      </w:pPr>
      <w:r>
        <w:rPr>
          <w:rFonts w:hint="eastAsia"/>
          <w:color w:val="000000" w:themeColor="text1"/>
          <w:sz w:val="24"/>
          <w:szCs w:val="24"/>
        </w:rPr>
        <w:t>本办法规定了实验室安全工作的管理原则、管理体系、管理职能以及管理内容等</w:t>
      </w:r>
      <w:r>
        <w:rPr>
          <w:rFonts w:asciiTheme="minorEastAsia" w:hAnsiTheme="minorEastAsia" w:hint="eastAsia"/>
          <w:color w:val="000000" w:themeColor="text1"/>
          <w:sz w:val="24"/>
          <w:szCs w:val="24"/>
        </w:rPr>
        <w:t>。</w:t>
      </w:r>
    </w:p>
    <w:p w14:paraId="0F6A8CE2" w14:textId="77777777" w:rsidR="000E7C14" w:rsidRDefault="00000000">
      <w:pPr>
        <w:spacing w:line="360" w:lineRule="auto"/>
        <w:ind w:firstLineChars="200" w:firstLine="480"/>
        <w:rPr>
          <w:color w:val="000000" w:themeColor="text1"/>
          <w:sz w:val="24"/>
          <w:szCs w:val="24"/>
        </w:rPr>
      </w:pPr>
      <w:r>
        <w:rPr>
          <w:rFonts w:hint="eastAsia"/>
          <w:color w:val="000000" w:themeColor="text1"/>
          <w:sz w:val="24"/>
          <w:szCs w:val="24"/>
        </w:rPr>
        <w:t>本办法适用上海建桥学院实验室安全工作及相关岗位的安全工作。</w:t>
      </w:r>
    </w:p>
    <w:p w14:paraId="51F1F3B0" w14:textId="77777777" w:rsidR="000E7C14" w:rsidRDefault="000E7C14">
      <w:pPr>
        <w:spacing w:line="360" w:lineRule="auto"/>
        <w:ind w:firstLineChars="200" w:firstLine="480"/>
        <w:rPr>
          <w:sz w:val="24"/>
          <w:szCs w:val="24"/>
        </w:rPr>
      </w:pPr>
    </w:p>
    <w:p w14:paraId="4A1E89EB" w14:textId="77777777" w:rsidR="000E7C14" w:rsidRDefault="00000000">
      <w:pPr>
        <w:spacing w:line="360" w:lineRule="auto"/>
        <w:rPr>
          <w:b/>
          <w:sz w:val="24"/>
          <w:szCs w:val="24"/>
        </w:rPr>
      </w:pPr>
      <w:r>
        <w:rPr>
          <w:rFonts w:hint="eastAsia"/>
          <w:b/>
          <w:sz w:val="24"/>
          <w:szCs w:val="24"/>
        </w:rPr>
        <w:t>3</w:t>
      </w:r>
      <w:r>
        <w:rPr>
          <w:rFonts w:hint="eastAsia"/>
          <w:b/>
          <w:sz w:val="24"/>
          <w:szCs w:val="24"/>
        </w:rPr>
        <w:t>．定义</w:t>
      </w:r>
    </w:p>
    <w:p w14:paraId="76100951" w14:textId="17DC6221" w:rsidR="000E7C14" w:rsidRDefault="00000000">
      <w:pPr>
        <w:spacing w:line="360" w:lineRule="auto"/>
        <w:rPr>
          <w:color w:val="000000" w:themeColor="text1"/>
          <w:sz w:val="24"/>
          <w:szCs w:val="24"/>
        </w:rPr>
      </w:pPr>
      <w:r>
        <w:rPr>
          <w:color w:val="000000" w:themeColor="text1"/>
          <w:sz w:val="24"/>
          <w:szCs w:val="24"/>
        </w:rPr>
        <w:t>3.</w:t>
      </w:r>
      <w:r>
        <w:rPr>
          <w:rFonts w:hint="eastAsia"/>
          <w:color w:val="000000" w:themeColor="text1"/>
          <w:sz w:val="24"/>
          <w:szCs w:val="24"/>
        </w:rPr>
        <w:t>1</w:t>
      </w:r>
      <w:r>
        <w:rPr>
          <w:color w:val="000000" w:themeColor="text1"/>
          <w:sz w:val="24"/>
          <w:szCs w:val="24"/>
        </w:rPr>
        <w:t xml:space="preserve"> </w:t>
      </w:r>
      <w:r>
        <w:rPr>
          <w:rFonts w:hint="eastAsia"/>
          <w:color w:val="000000" w:themeColor="text1"/>
          <w:sz w:val="24"/>
          <w:szCs w:val="24"/>
        </w:rPr>
        <w:t>实验室安全，包括：实验室环境安全、用电安全、设备安全、材料安全、危险化学物品（以下简称危化品）安全以及运行安全等。</w:t>
      </w:r>
    </w:p>
    <w:p w14:paraId="11E20AC9" w14:textId="77777777" w:rsidR="000E7C14" w:rsidRDefault="000E7C14">
      <w:pPr>
        <w:spacing w:line="360" w:lineRule="auto"/>
        <w:ind w:firstLineChars="200" w:firstLine="480"/>
        <w:rPr>
          <w:sz w:val="24"/>
          <w:szCs w:val="24"/>
        </w:rPr>
      </w:pPr>
    </w:p>
    <w:p w14:paraId="27C4703A" w14:textId="77777777" w:rsidR="000E7C14" w:rsidRDefault="00000000">
      <w:pPr>
        <w:spacing w:line="360" w:lineRule="auto"/>
        <w:rPr>
          <w:b/>
          <w:sz w:val="24"/>
          <w:szCs w:val="24"/>
        </w:rPr>
      </w:pPr>
      <w:r>
        <w:rPr>
          <w:rFonts w:hint="eastAsia"/>
          <w:b/>
          <w:sz w:val="24"/>
          <w:szCs w:val="24"/>
        </w:rPr>
        <w:t>4</w:t>
      </w:r>
      <w:r>
        <w:rPr>
          <w:rFonts w:hint="eastAsia"/>
          <w:b/>
          <w:sz w:val="24"/>
          <w:szCs w:val="24"/>
        </w:rPr>
        <w:t>．职责</w:t>
      </w:r>
    </w:p>
    <w:p w14:paraId="17133F37" w14:textId="77777777" w:rsidR="000E7C14"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4.1</w:t>
      </w:r>
      <w:r>
        <w:rPr>
          <w:rFonts w:hint="eastAsia"/>
          <w:color w:val="000000" w:themeColor="text1"/>
          <w:kern w:val="0"/>
          <w:sz w:val="24"/>
          <w:szCs w:val="24"/>
        </w:rPr>
        <w:t>学校党政领导是学校实验室安全工作第一责任人。分管教学校长全面负责实验室安全工作。其他校领导负有监督、检查等责任。</w:t>
      </w:r>
    </w:p>
    <w:p w14:paraId="586CEE61" w14:textId="77777777" w:rsidR="000E7C14"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4.2</w:t>
      </w:r>
      <w:proofErr w:type="gramStart"/>
      <w:r>
        <w:rPr>
          <w:rFonts w:hint="eastAsia"/>
          <w:color w:val="000000" w:themeColor="text1"/>
          <w:kern w:val="0"/>
          <w:sz w:val="24"/>
          <w:szCs w:val="24"/>
        </w:rPr>
        <w:t>二</w:t>
      </w:r>
      <w:proofErr w:type="gramEnd"/>
      <w:r>
        <w:rPr>
          <w:rFonts w:hint="eastAsia"/>
          <w:color w:val="000000" w:themeColor="text1"/>
          <w:kern w:val="0"/>
          <w:sz w:val="24"/>
          <w:szCs w:val="24"/>
        </w:rPr>
        <w:t>级学院党政领导是本学院实验室安全工作主要责任人。</w:t>
      </w:r>
      <w:r>
        <w:rPr>
          <w:rFonts w:hint="eastAsia"/>
          <w:color w:val="000000" w:themeColor="text1"/>
          <w:sz w:val="24"/>
          <w:szCs w:val="24"/>
        </w:rPr>
        <w:t>负责实验室安全管理的计划、落实、检查、总结等项工作开展及日常管理。</w:t>
      </w:r>
    </w:p>
    <w:p w14:paraId="6601F16D" w14:textId="77777777" w:rsidR="000E7C14" w:rsidRDefault="00000000">
      <w:pPr>
        <w:spacing w:line="360" w:lineRule="auto"/>
        <w:rPr>
          <w:color w:val="000000" w:themeColor="text1"/>
          <w:sz w:val="24"/>
          <w:szCs w:val="24"/>
        </w:rPr>
      </w:pPr>
      <w:r>
        <w:rPr>
          <w:color w:val="000000" w:themeColor="text1"/>
          <w:sz w:val="24"/>
          <w:szCs w:val="24"/>
        </w:rPr>
        <w:t>4.3</w:t>
      </w:r>
      <w:r>
        <w:rPr>
          <w:rFonts w:hint="eastAsia"/>
          <w:color w:val="000000" w:themeColor="text1"/>
          <w:sz w:val="24"/>
          <w:szCs w:val="24"/>
        </w:rPr>
        <w:t>学校后勤保卫处、资产管理处等部门负责安全培训、演练、专项检查和实验室安全设施、设备的保障等工作。</w:t>
      </w:r>
    </w:p>
    <w:p w14:paraId="7397DBE7" w14:textId="20D82255" w:rsidR="000E7C14"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4.4</w:t>
      </w:r>
      <w:r>
        <w:rPr>
          <w:rFonts w:hint="eastAsia"/>
          <w:color w:val="000000" w:themeColor="text1"/>
          <w:sz w:val="24"/>
          <w:szCs w:val="24"/>
        </w:rPr>
        <w:t>教务处（实验室管理办公室）负有实验室安全管理职能，督促、检查实验室安全管理工作的落实、协调、整改、总结等工作。</w:t>
      </w:r>
    </w:p>
    <w:p w14:paraId="54B5DE86" w14:textId="77777777" w:rsidR="000E7C14" w:rsidRDefault="000E7C14">
      <w:pPr>
        <w:spacing w:line="360" w:lineRule="auto"/>
        <w:ind w:firstLineChars="200" w:firstLine="480"/>
        <w:rPr>
          <w:rFonts w:asciiTheme="minorEastAsia" w:hAnsiTheme="minorEastAsia" w:hint="eastAsia"/>
          <w:sz w:val="24"/>
          <w:szCs w:val="24"/>
        </w:rPr>
      </w:pPr>
    </w:p>
    <w:p w14:paraId="60268F6C" w14:textId="77777777" w:rsidR="000E7C14" w:rsidRDefault="00000000">
      <w:pPr>
        <w:spacing w:line="360" w:lineRule="auto"/>
        <w:rPr>
          <w:b/>
          <w:sz w:val="24"/>
          <w:szCs w:val="24"/>
        </w:rPr>
      </w:pPr>
      <w:r>
        <w:rPr>
          <w:b/>
          <w:sz w:val="24"/>
          <w:szCs w:val="24"/>
        </w:rPr>
        <w:t>5</w:t>
      </w:r>
      <w:r>
        <w:rPr>
          <w:rFonts w:hint="eastAsia"/>
          <w:b/>
          <w:sz w:val="24"/>
          <w:szCs w:val="24"/>
        </w:rPr>
        <w:t>．管理内容</w:t>
      </w:r>
    </w:p>
    <w:p w14:paraId="66053EC5" w14:textId="77777777" w:rsidR="000E7C14"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5.1</w:t>
      </w:r>
      <w:r>
        <w:rPr>
          <w:rFonts w:hint="eastAsia"/>
          <w:color w:val="000000" w:themeColor="text1"/>
          <w:sz w:val="24"/>
          <w:szCs w:val="24"/>
        </w:rPr>
        <w:t>安全管理原则</w:t>
      </w:r>
    </w:p>
    <w:p w14:paraId="7245F763" w14:textId="77777777" w:rsidR="000E7C14"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5.1.1</w:t>
      </w:r>
      <w:r>
        <w:rPr>
          <w:rFonts w:asciiTheme="minorEastAsia" w:hAnsiTheme="minorEastAsia" w:cs="宋体" w:hint="eastAsia"/>
          <w:color w:val="000000" w:themeColor="text1"/>
          <w:kern w:val="0"/>
          <w:sz w:val="24"/>
          <w:szCs w:val="24"/>
        </w:rPr>
        <w:t>学校实验室安全工作，必须坚持“以人为本、安全第一、预防为主、综合治理”的方针。</w:t>
      </w:r>
    </w:p>
    <w:p w14:paraId="0130796B" w14:textId="77777777" w:rsidR="000E7C14" w:rsidRDefault="00000000">
      <w:pPr>
        <w:spacing w:line="360" w:lineRule="auto"/>
        <w:rPr>
          <w:color w:val="000000" w:themeColor="text1"/>
          <w:kern w:val="0"/>
          <w:sz w:val="24"/>
          <w:szCs w:val="24"/>
        </w:rPr>
      </w:pPr>
      <w:r>
        <w:rPr>
          <w:color w:val="000000" w:themeColor="text1"/>
          <w:sz w:val="24"/>
          <w:szCs w:val="24"/>
        </w:rPr>
        <w:t>5.1.2</w:t>
      </w:r>
      <w:r>
        <w:rPr>
          <w:rFonts w:hint="eastAsia"/>
          <w:color w:val="000000" w:themeColor="text1"/>
          <w:kern w:val="0"/>
          <w:sz w:val="24"/>
          <w:szCs w:val="24"/>
        </w:rPr>
        <w:t>学校严格按照“党政同责，一岗双责，齐抓共管，失职追责”和“管行业必须管安全、管业务必须管安全”的要求，在学校统一领导下，构建由学校、二级学院（部门）、实验室组成</w:t>
      </w:r>
      <w:r>
        <w:rPr>
          <w:rFonts w:hint="eastAsia"/>
          <w:color w:val="000000" w:themeColor="text1"/>
          <w:kern w:val="0"/>
          <w:sz w:val="24"/>
          <w:szCs w:val="24"/>
        </w:rPr>
        <w:lastRenderedPageBreak/>
        <w:t>的三级联动的实验室安全管理责任体系。</w:t>
      </w:r>
    </w:p>
    <w:p w14:paraId="3BAEB971" w14:textId="77777777" w:rsidR="000E7C14" w:rsidRDefault="00000000">
      <w:pPr>
        <w:spacing w:line="360" w:lineRule="auto"/>
        <w:rPr>
          <w:rFonts w:asciiTheme="minorEastAsia" w:hAnsiTheme="minorEastAsia" w:hint="eastAsia"/>
          <w:color w:val="000000" w:themeColor="text1"/>
          <w:sz w:val="24"/>
          <w:szCs w:val="24"/>
        </w:rPr>
      </w:pPr>
      <w:r>
        <w:rPr>
          <w:color w:val="000000" w:themeColor="text1"/>
          <w:kern w:val="0"/>
          <w:sz w:val="24"/>
          <w:szCs w:val="24"/>
        </w:rPr>
        <w:t>5.1.3</w:t>
      </w:r>
      <w:r>
        <w:rPr>
          <w:rFonts w:hint="eastAsia"/>
          <w:color w:val="000000" w:themeColor="text1"/>
          <w:kern w:val="0"/>
          <w:sz w:val="24"/>
          <w:szCs w:val="24"/>
        </w:rPr>
        <w:t>学校根据“谁使用、谁负责，谁主管、谁负责”的原则，逐级分层落实责任制。</w:t>
      </w:r>
    </w:p>
    <w:p w14:paraId="390CE70A" w14:textId="77777777" w:rsidR="000E7C14"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5.2.</w:t>
      </w:r>
      <w:r>
        <w:rPr>
          <w:rFonts w:asciiTheme="minorEastAsia" w:hAnsiTheme="minorEastAsia"/>
          <w:color w:val="000000" w:themeColor="text1"/>
          <w:sz w:val="24"/>
          <w:szCs w:val="24"/>
        </w:rPr>
        <w:t xml:space="preserve"> </w:t>
      </w:r>
      <w:r>
        <w:rPr>
          <w:rFonts w:hint="eastAsia"/>
          <w:color w:val="000000" w:themeColor="text1"/>
          <w:sz w:val="24"/>
          <w:szCs w:val="24"/>
        </w:rPr>
        <w:t>安全管理体系</w:t>
      </w:r>
    </w:p>
    <w:p w14:paraId="3F083869" w14:textId="77777777" w:rsidR="000E7C14"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5.2.1</w:t>
      </w:r>
      <w:r>
        <w:rPr>
          <w:rFonts w:hint="eastAsia"/>
          <w:color w:val="000000" w:themeColor="text1"/>
          <w:kern w:val="0"/>
          <w:sz w:val="24"/>
          <w:szCs w:val="24"/>
        </w:rPr>
        <w:t>学校校长和党委书记是学校安全工作第一责任人。宣传贯彻国家和上海市有关安全工作的方针、政策、法令，对学校的安全管理全面负责。</w:t>
      </w:r>
    </w:p>
    <w:p w14:paraId="3968DC73" w14:textId="77777777" w:rsidR="000E7C14" w:rsidRDefault="00000000">
      <w:pPr>
        <w:spacing w:line="360" w:lineRule="auto"/>
        <w:rPr>
          <w:color w:val="000000" w:themeColor="text1"/>
          <w:kern w:val="0"/>
          <w:sz w:val="24"/>
          <w:szCs w:val="24"/>
        </w:rPr>
      </w:pPr>
      <w:r>
        <w:rPr>
          <w:color w:val="000000" w:themeColor="text1"/>
          <w:sz w:val="24"/>
          <w:szCs w:val="24"/>
        </w:rPr>
        <w:t>5.2.2</w:t>
      </w:r>
      <w:r>
        <w:rPr>
          <w:rFonts w:hint="eastAsia"/>
          <w:color w:val="000000" w:themeColor="text1"/>
          <w:kern w:val="0"/>
          <w:sz w:val="24"/>
          <w:szCs w:val="24"/>
        </w:rPr>
        <w:t>分管教学校长协助第一责任人负责实验室安全工作，是重要领导责任人。</w:t>
      </w:r>
      <w:r>
        <w:rPr>
          <w:rFonts w:hint="eastAsia"/>
          <w:color w:val="000000" w:themeColor="text1"/>
          <w:sz w:val="24"/>
          <w:szCs w:val="24"/>
        </w:rPr>
        <w:t>组织开展和落实实验室安全管理各项工作</w:t>
      </w:r>
      <w:r>
        <w:rPr>
          <w:rFonts w:hint="eastAsia"/>
          <w:color w:val="000000" w:themeColor="text1"/>
          <w:kern w:val="0"/>
          <w:sz w:val="24"/>
          <w:szCs w:val="24"/>
        </w:rPr>
        <w:t>。其他校领导在分管工作范围内对实验室安全工作负有监督、检查、指导和管理职责。</w:t>
      </w:r>
    </w:p>
    <w:p w14:paraId="06DE0C7C" w14:textId="77777777" w:rsidR="000E7C14" w:rsidRDefault="00000000">
      <w:pPr>
        <w:spacing w:line="360" w:lineRule="auto"/>
        <w:rPr>
          <w:color w:val="000000" w:themeColor="text1"/>
          <w:sz w:val="24"/>
          <w:szCs w:val="24"/>
        </w:rPr>
      </w:pPr>
      <w:r>
        <w:rPr>
          <w:color w:val="000000" w:themeColor="text1"/>
          <w:kern w:val="0"/>
          <w:sz w:val="24"/>
          <w:szCs w:val="24"/>
        </w:rPr>
        <w:t>5.2.3</w:t>
      </w:r>
      <w:proofErr w:type="gramStart"/>
      <w:r>
        <w:rPr>
          <w:rFonts w:hint="eastAsia"/>
          <w:color w:val="000000" w:themeColor="text1"/>
          <w:kern w:val="0"/>
          <w:sz w:val="24"/>
          <w:szCs w:val="24"/>
        </w:rPr>
        <w:t>二</w:t>
      </w:r>
      <w:proofErr w:type="gramEnd"/>
      <w:r>
        <w:rPr>
          <w:rFonts w:hint="eastAsia"/>
          <w:color w:val="000000" w:themeColor="text1"/>
          <w:kern w:val="0"/>
          <w:sz w:val="24"/>
          <w:szCs w:val="24"/>
        </w:rPr>
        <w:t>级学院党政负责人是本学院实验室安全工作主要领导责任人。</w:t>
      </w:r>
      <w:r>
        <w:rPr>
          <w:rFonts w:hint="eastAsia"/>
          <w:color w:val="000000" w:themeColor="text1"/>
          <w:sz w:val="24"/>
          <w:szCs w:val="24"/>
        </w:rPr>
        <w:t>主管教学院长负责实验室安全管理工作。建立安全管理小组（学院、专业教研室、实验中心、实验室），落实学校有关安全管理工作，有计划、有布置、有检查、有总结。</w:t>
      </w:r>
    </w:p>
    <w:p w14:paraId="0F91A952" w14:textId="77777777" w:rsidR="000E7C14" w:rsidRDefault="00000000">
      <w:pPr>
        <w:spacing w:line="360" w:lineRule="auto"/>
        <w:rPr>
          <w:color w:val="000000" w:themeColor="text1"/>
          <w:sz w:val="24"/>
          <w:szCs w:val="24"/>
        </w:rPr>
      </w:pPr>
      <w:r>
        <w:rPr>
          <w:color w:val="000000" w:themeColor="text1"/>
          <w:sz w:val="24"/>
          <w:szCs w:val="24"/>
        </w:rPr>
        <w:t>5.2.4</w:t>
      </w:r>
      <w:r>
        <w:rPr>
          <w:rFonts w:hint="eastAsia"/>
          <w:color w:val="000000" w:themeColor="text1"/>
          <w:sz w:val="24"/>
          <w:szCs w:val="24"/>
        </w:rPr>
        <w:t>实验中心主任全面负责实验室的日常安全管理。统筹安全工作开展，组织编制或完善安全制度及管理措施，整改、完善不安全管理环节，定期检查、汇报实验室安全工作。</w:t>
      </w:r>
    </w:p>
    <w:p w14:paraId="62197213" w14:textId="77777777" w:rsidR="000E7C14" w:rsidRDefault="00000000">
      <w:pPr>
        <w:spacing w:line="360" w:lineRule="auto"/>
        <w:rPr>
          <w:color w:val="000000" w:themeColor="text1"/>
          <w:sz w:val="24"/>
          <w:szCs w:val="24"/>
        </w:rPr>
      </w:pPr>
      <w:r>
        <w:rPr>
          <w:color w:val="000000" w:themeColor="text1"/>
          <w:sz w:val="24"/>
          <w:szCs w:val="24"/>
        </w:rPr>
        <w:t>5.2.5</w:t>
      </w:r>
      <w:r>
        <w:rPr>
          <w:rFonts w:hint="eastAsia"/>
          <w:color w:val="000000" w:themeColor="text1"/>
          <w:kern w:val="0"/>
          <w:sz w:val="24"/>
          <w:szCs w:val="24"/>
        </w:rPr>
        <w:t>实验室负责人（管理人员）是本实验室安全工作的直接责任人（兼职安全员）。</w:t>
      </w:r>
      <w:r>
        <w:rPr>
          <w:rFonts w:hint="eastAsia"/>
          <w:color w:val="000000" w:themeColor="text1"/>
          <w:sz w:val="24"/>
          <w:szCs w:val="24"/>
        </w:rPr>
        <w:t>负责本实验室安全制度、措施落实，安全设施检查，提出具体安全要求和防护措施，有权监督或停止有碍安全的操作及违章行为。</w:t>
      </w:r>
    </w:p>
    <w:p w14:paraId="053A2117" w14:textId="77777777" w:rsidR="000E7C14" w:rsidRDefault="00000000">
      <w:pPr>
        <w:spacing w:line="360" w:lineRule="auto"/>
        <w:rPr>
          <w:color w:val="000000" w:themeColor="text1"/>
          <w:sz w:val="24"/>
          <w:szCs w:val="24"/>
        </w:rPr>
      </w:pPr>
      <w:r>
        <w:rPr>
          <w:color w:val="000000" w:themeColor="text1"/>
          <w:sz w:val="24"/>
          <w:szCs w:val="24"/>
        </w:rPr>
        <w:t>5.2.6</w:t>
      </w:r>
      <w:r>
        <w:rPr>
          <w:rFonts w:hint="eastAsia"/>
          <w:color w:val="000000" w:themeColor="text1"/>
          <w:sz w:val="24"/>
          <w:szCs w:val="24"/>
        </w:rPr>
        <w:t>实验指导教师负责学生在实验、实习、科研等过程中的安全教育、安全防护指导、安全监督等工作。</w:t>
      </w:r>
    </w:p>
    <w:p w14:paraId="22142F32" w14:textId="77777777" w:rsidR="000E7C14" w:rsidRDefault="00000000">
      <w:pPr>
        <w:spacing w:line="360" w:lineRule="auto"/>
        <w:rPr>
          <w:color w:val="000000" w:themeColor="text1"/>
          <w:sz w:val="24"/>
          <w:szCs w:val="24"/>
        </w:rPr>
      </w:pPr>
      <w:r>
        <w:rPr>
          <w:color w:val="000000" w:themeColor="text1"/>
          <w:sz w:val="24"/>
          <w:szCs w:val="24"/>
        </w:rPr>
        <w:t>5.2.7</w:t>
      </w:r>
      <w:r>
        <w:rPr>
          <w:rFonts w:hint="eastAsia"/>
          <w:color w:val="000000" w:themeColor="text1"/>
          <w:sz w:val="24"/>
          <w:szCs w:val="24"/>
        </w:rPr>
        <w:t>学校后勤保卫处、资产管理处等部门，根据学校安全管理总体规划的需求，负责实验室安全设施、设备的保障；统筹规划特殊性的安全教育、培训、演练、参观学习等活动；负责校级专项安全检查，安全年报等工作。</w:t>
      </w:r>
    </w:p>
    <w:p w14:paraId="036CDE31" w14:textId="77777777" w:rsidR="000E7C14" w:rsidRDefault="00000000">
      <w:pPr>
        <w:spacing w:line="360" w:lineRule="auto"/>
        <w:ind w:firstLineChars="227" w:firstLine="545"/>
        <w:rPr>
          <w:rFonts w:asciiTheme="minorEastAsia" w:hAnsiTheme="minorEastAsia" w:hint="eastAsia"/>
          <w:color w:val="000000" w:themeColor="text1"/>
          <w:sz w:val="24"/>
          <w:szCs w:val="24"/>
        </w:rPr>
      </w:pPr>
      <w:r>
        <w:rPr>
          <w:rFonts w:hint="eastAsia"/>
          <w:color w:val="000000" w:themeColor="text1"/>
          <w:sz w:val="24"/>
          <w:szCs w:val="24"/>
        </w:rPr>
        <w:t>教务处实验室管理办公室负有实验室安全管理职能，结合学校特点组织编制安全管理工作文件，并组织落实、协调、检查、总结实验室安全管理工作。</w:t>
      </w:r>
    </w:p>
    <w:p w14:paraId="0294B9E6" w14:textId="77777777" w:rsidR="000E7C14"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5.3</w:t>
      </w:r>
      <w:r>
        <w:rPr>
          <w:rFonts w:asciiTheme="minorEastAsia" w:hAnsiTheme="minorEastAsia" w:cs="宋体" w:hint="eastAsia"/>
          <w:bCs/>
          <w:color w:val="000000" w:themeColor="text1"/>
          <w:kern w:val="0"/>
          <w:sz w:val="24"/>
          <w:szCs w:val="24"/>
        </w:rPr>
        <w:t>安全管理机制</w:t>
      </w:r>
    </w:p>
    <w:p w14:paraId="1EAC5398" w14:textId="77777777" w:rsidR="000E7C14"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5.3.1</w:t>
      </w:r>
      <w:r>
        <w:rPr>
          <w:rFonts w:asciiTheme="minorEastAsia" w:hAnsiTheme="minorEastAsia" w:cs="宋体" w:hint="eastAsia"/>
          <w:color w:val="000000" w:themeColor="text1"/>
          <w:kern w:val="0"/>
          <w:sz w:val="24"/>
          <w:szCs w:val="24"/>
        </w:rPr>
        <w:t>学校要把实验室安全工作纳入学校安全整体工作之中，做到安全管理与实验室建设（实验教学、科研开发）同规划、同部署、同落实、同检查。逐步建立实验室安全管理的全员、全过程的管理机制。</w:t>
      </w:r>
    </w:p>
    <w:p w14:paraId="540FBA0C" w14:textId="77777777" w:rsidR="000E7C14" w:rsidRDefault="00000000">
      <w:pPr>
        <w:spacing w:line="360" w:lineRule="auto"/>
        <w:rPr>
          <w:rFonts w:asciiTheme="minorEastAsia" w:hAnsiTheme="minorEastAsia" w:cs="宋体" w:hint="eastAsia"/>
          <w:color w:val="000000" w:themeColor="text1"/>
          <w:kern w:val="0"/>
          <w:sz w:val="24"/>
          <w:szCs w:val="24"/>
        </w:rPr>
      </w:pPr>
      <w:r>
        <w:rPr>
          <w:color w:val="000000" w:themeColor="text1"/>
          <w:sz w:val="24"/>
          <w:szCs w:val="24"/>
        </w:rPr>
        <w:t>5.3.2</w:t>
      </w:r>
      <w:r>
        <w:rPr>
          <w:rFonts w:asciiTheme="minorEastAsia" w:hAnsiTheme="minorEastAsia" w:cs="宋体" w:hint="eastAsia"/>
          <w:color w:val="000000" w:themeColor="text1"/>
          <w:kern w:val="0"/>
          <w:sz w:val="24"/>
          <w:szCs w:val="24"/>
        </w:rPr>
        <w:t>建立实验室全生命周期安全运行机制。对新建实验室的审核，学校及二级学院应根据学校</w:t>
      </w:r>
      <w:r>
        <w:rPr>
          <w:rFonts w:asciiTheme="minorEastAsia" w:hAnsiTheme="minorEastAsia" w:cs="宋体" w:hint="eastAsia"/>
          <w:color w:val="000000" w:themeColor="text1"/>
          <w:kern w:val="0"/>
          <w:sz w:val="24"/>
          <w:szCs w:val="24"/>
        </w:rPr>
        <w:lastRenderedPageBreak/>
        <w:t>基础条件和实验室的专业门类特性，将安全风险评估与审核作为实验室建设立项的必要条件。实验室的改建、扩建，应根据相应法律法规对建设方案进行评估。明确和落实建设项目立项、规划、设计、施工等环节的安全责任。项目建设验收时，要同步进行安全验收。实现实验室安全的全过程、全要素、全方位的管理和控制。</w:t>
      </w:r>
    </w:p>
    <w:p w14:paraId="7A61484E" w14:textId="77777777" w:rsidR="000E7C14" w:rsidRDefault="00000000">
      <w:pPr>
        <w:spacing w:line="360" w:lineRule="auto"/>
        <w:rPr>
          <w:rFonts w:asciiTheme="minorEastAsia" w:hAnsiTheme="minorEastAsia" w:hint="eastAsia"/>
          <w:color w:val="000000" w:themeColor="text1"/>
          <w:kern w:val="0"/>
          <w:sz w:val="24"/>
          <w:szCs w:val="24"/>
        </w:rPr>
      </w:pPr>
      <w:r>
        <w:rPr>
          <w:color w:val="000000" w:themeColor="text1"/>
          <w:sz w:val="24"/>
          <w:szCs w:val="24"/>
        </w:rPr>
        <w:t>5.3.3</w:t>
      </w:r>
      <w:r>
        <w:rPr>
          <w:rFonts w:hint="eastAsia"/>
          <w:color w:val="000000" w:themeColor="text1"/>
          <w:sz w:val="24"/>
          <w:szCs w:val="24"/>
        </w:rPr>
        <w:t>严格落实《高等学校实验室安全分级分类管理办法（试行）》（教科信〔</w:t>
      </w:r>
      <w:r>
        <w:rPr>
          <w:rFonts w:hint="eastAsia"/>
          <w:color w:val="000000" w:themeColor="text1"/>
          <w:sz w:val="24"/>
          <w:szCs w:val="24"/>
        </w:rPr>
        <w:t>2024</w:t>
      </w:r>
      <w:r>
        <w:rPr>
          <w:rFonts w:hint="eastAsia"/>
          <w:color w:val="000000" w:themeColor="text1"/>
          <w:sz w:val="24"/>
          <w:szCs w:val="24"/>
        </w:rPr>
        <w:t>〕</w:t>
      </w:r>
      <w:r>
        <w:rPr>
          <w:rFonts w:hint="eastAsia"/>
          <w:color w:val="000000" w:themeColor="text1"/>
          <w:sz w:val="24"/>
          <w:szCs w:val="24"/>
        </w:rPr>
        <w:t>4</w:t>
      </w:r>
      <w:r>
        <w:rPr>
          <w:rFonts w:hint="eastAsia"/>
          <w:color w:val="000000" w:themeColor="text1"/>
          <w:sz w:val="24"/>
          <w:szCs w:val="24"/>
        </w:rPr>
        <w:t>号）文件精神，</w:t>
      </w:r>
      <w:r>
        <w:rPr>
          <w:rFonts w:asciiTheme="minorEastAsia" w:hAnsiTheme="minorEastAsia" w:hint="eastAsia"/>
          <w:color w:val="000000" w:themeColor="text1"/>
          <w:kern w:val="0"/>
          <w:sz w:val="24"/>
          <w:szCs w:val="24"/>
        </w:rPr>
        <w:t>建立实验室安全管理和定期检查评估机制。检查内容应按照当年</w:t>
      </w:r>
      <w:r>
        <w:rPr>
          <w:rFonts w:asciiTheme="minorEastAsia" w:hAnsiTheme="minorEastAsia"/>
          <w:color w:val="000000" w:themeColor="text1"/>
          <w:kern w:val="0"/>
          <w:sz w:val="24"/>
          <w:szCs w:val="24"/>
        </w:rPr>
        <w:t>教育部发布的</w:t>
      </w:r>
      <w:r>
        <w:rPr>
          <w:rFonts w:asciiTheme="minorEastAsia" w:hAnsiTheme="minorEastAsia" w:hint="eastAsia"/>
          <w:color w:val="000000" w:themeColor="text1"/>
          <w:kern w:val="0"/>
          <w:sz w:val="24"/>
          <w:szCs w:val="24"/>
        </w:rPr>
        <w:t>最新《</w:t>
      </w:r>
      <w:r>
        <w:rPr>
          <w:rFonts w:asciiTheme="minorEastAsia" w:hAnsiTheme="minorEastAsia"/>
          <w:color w:val="000000" w:themeColor="text1"/>
          <w:kern w:val="0"/>
          <w:sz w:val="24"/>
          <w:szCs w:val="24"/>
        </w:rPr>
        <w:t>高校实验室安全</w:t>
      </w:r>
      <w:r>
        <w:rPr>
          <w:rFonts w:asciiTheme="minorEastAsia" w:hAnsiTheme="minorEastAsia" w:hint="eastAsia"/>
          <w:color w:val="000000" w:themeColor="text1"/>
          <w:kern w:val="0"/>
          <w:sz w:val="24"/>
          <w:szCs w:val="24"/>
        </w:rPr>
        <w:t>检查</w:t>
      </w:r>
      <w:r>
        <w:rPr>
          <w:rFonts w:asciiTheme="minorEastAsia" w:hAnsiTheme="minorEastAsia"/>
          <w:color w:val="000000" w:themeColor="text1"/>
          <w:kern w:val="0"/>
          <w:sz w:val="24"/>
          <w:szCs w:val="24"/>
        </w:rPr>
        <w:t>项目表</w:t>
      </w:r>
      <w:r>
        <w:rPr>
          <w:rFonts w:asciiTheme="minorEastAsia" w:hAnsiTheme="minorEastAsia" w:hint="eastAsia"/>
          <w:color w:val="000000" w:themeColor="text1"/>
          <w:kern w:val="0"/>
          <w:sz w:val="24"/>
          <w:szCs w:val="24"/>
        </w:rPr>
        <w:t>》</w:t>
      </w:r>
      <w:r>
        <w:rPr>
          <w:rFonts w:asciiTheme="minorEastAsia" w:hAnsiTheme="minorEastAsia"/>
          <w:color w:val="000000" w:themeColor="text1"/>
          <w:kern w:val="0"/>
          <w:sz w:val="24"/>
          <w:szCs w:val="24"/>
        </w:rPr>
        <w:t>执行</w:t>
      </w:r>
      <w:r>
        <w:rPr>
          <w:rFonts w:asciiTheme="minorEastAsia" w:hAnsiTheme="minorEastAsia" w:hint="eastAsia"/>
          <w:color w:val="000000" w:themeColor="text1"/>
          <w:kern w:val="0"/>
          <w:sz w:val="24"/>
          <w:szCs w:val="24"/>
        </w:rPr>
        <w:t>。检查频次按照《高校实验室分级管理要求参照表》执行。安全检查和巡检结果，分别填写《实验室安全检查记录》或《实验室安全巡检记录》，形成实验室安全检查台账。</w:t>
      </w:r>
    </w:p>
    <w:p w14:paraId="011FD266" w14:textId="77777777" w:rsidR="000E7C14" w:rsidRDefault="00000000">
      <w:pPr>
        <w:spacing w:line="360" w:lineRule="auto"/>
        <w:ind w:firstLineChars="236" w:firstLine="566"/>
        <w:rPr>
          <w:rFonts w:asciiTheme="minorEastAsia" w:hAnsiTheme="minorEastAsia" w:cs="宋体" w:hint="eastAsia"/>
          <w:color w:val="000000" w:themeColor="text1"/>
          <w:kern w:val="0"/>
          <w:sz w:val="24"/>
          <w:szCs w:val="24"/>
        </w:rPr>
      </w:pPr>
      <w:r>
        <w:rPr>
          <w:rFonts w:asciiTheme="minorEastAsia" w:hAnsiTheme="minorEastAsia" w:cs="宋体" w:hint="eastAsia"/>
          <w:color w:val="000000" w:themeColor="text1"/>
          <w:kern w:val="0"/>
          <w:sz w:val="24"/>
          <w:szCs w:val="24"/>
        </w:rPr>
        <w:t>学校还应对实验室重大危险源及不安全隐患开展专项定期检查，检查安全制度执行及责任制落实情况、规范使用和处置情况、安全隐患及其整改成效等。</w:t>
      </w:r>
    </w:p>
    <w:p w14:paraId="3CD7427C" w14:textId="77777777" w:rsidR="000E7C14" w:rsidRDefault="00000000">
      <w:pPr>
        <w:spacing w:line="360" w:lineRule="auto"/>
        <w:ind w:firstLineChars="236" w:firstLine="566"/>
        <w:rPr>
          <w:rFonts w:asciiTheme="minorEastAsia" w:hAnsiTheme="minorEastAsia" w:hint="eastAsia"/>
          <w:color w:val="000000" w:themeColor="text1"/>
          <w:sz w:val="24"/>
          <w:szCs w:val="24"/>
        </w:rPr>
      </w:pPr>
      <w:r>
        <w:rPr>
          <w:rFonts w:asciiTheme="minorEastAsia" w:hAnsiTheme="minorEastAsia" w:hint="eastAsia"/>
          <w:color w:val="000000" w:themeColor="text1"/>
          <w:kern w:val="0"/>
          <w:sz w:val="24"/>
          <w:szCs w:val="24"/>
        </w:rPr>
        <w:t>树立“隐患就是事故”的观念，建立实验室安全事故隐患排查、登记、报告、整改等制度</w:t>
      </w:r>
      <w:r>
        <w:rPr>
          <w:rFonts w:hint="eastAsia"/>
          <w:color w:val="000000" w:themeColor="text1"/>
          <w:kern w:val="0"/>
          <w:sz w:val="24"/>
          <w:szCs w:val="24"/>
        </w:rPr>
        <w:t>。学校不定期对二级学院的实验室进行安全评估。</w:t>
      </w:r>
    </w:p>
    <w:p w14:paraId="291E6811" w14:textId="77777777" w:rsidR="000E7C14"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5.3.4</w:t>
      </w:r>
      <w:r>
        <w:rPr>
          <w:rFonts w:asciiTheme="minorEastAsia" w:hAnsiTheme="minorEastAsia" w:cs="宋体" w:hint="eastAsia"/>
          <w:color w:val="000000" w:themeColor="text1"/>
          <w:kern w:val="0"/>
          <w:sz w:val="24"/>
          <w:szCs w:val="24"/>
        </w:rPr>
        <w:t>学校必须保证实验室安全经费投入，加强安全物资保障，确保必要的安全防范设施和装备齐全有效。</w:t>
      </w:r>
    </w:p>
    <w:p w14:paraId="0E8B0B07" w14:textId="77777777" w:rsidR="000E7C14" w:rsidRDefault="00000000">
      <w:pPr>
        <w:spacing w:line="360" w:lineRule="auto"/>
        <w:rPr>
          <w:rFonts w:asciiTheme="minorEastAsia" w:hAnsiTheme="minorEastAsia" w:cs="宋体" w:hint="eastAsia"/>
          <w:color w:val="000000" w:themeColor="text1"/>
          <w:kern w:val="0"/>
          <w:sz w:val="24"/>
          <w:szCs w:val="24"/>
        </w:rPr>
      </w:pPr>
      <w:r>
        <w:rPr>
          <w:color w:val="000000" w:themeColor="text1"/>
          <w:sz w:val="24"/>
          <w:szCs w:val="24"/>
        </w:rPr>
        <w:t>5.3.5</w:t>
      </w:r>
      <w:r>
        <w:rPr>
          <w:rFonts w:asciiTheme="minorEastAsia" w:hAnsiTheme="minorEastAsia" w:cs="宋体" w:hint="eastAsia"/>
          <w:color w:val="000000" w:themeColor="text1"/>
          <w:kern w:val="0"/>
          <w:sz w:val="24"/>
          <w:szCs w:val="24"/>
        </w:rPr>
        <w:t>建设学校实验室安全管理信息系统。其中：建立实验安全教育子系统，实现实验室动态准入制；建立危化品、贵重材料全流程管理子系统，实现出库、保管、使用、末端处置等闭环管控；建立实验室安全监测子系统，实现实验室安全运行监测管理；建立实验室安全信息处理子系统，实现实验室安全信息的管理、汇总、分析、发布、监督、追踪等快速有效，提升实验室安全管理工作综合水平。</w:t>
      </w:r>
    </w:p>
    <w:p w14:paraId="608CD1D2" w14:textId="77777777" w:rsidR="000E7C14"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5.3.6</w:t>
      </w:r>
      <w:r>
        <w:rPr>
          <w:rFonts w:asciiTheme="minorEastAsia" w:hAnsiTheme="minorEastAsia" w:cs="宋体" w:hint="eastAsia"/>
          <w:color w:val="000000" w:themeColor="text1"/>
          <w:kern w:val="0"/>
          <w:sz w:val="24"/>
          <w:szCs w:val="24"/>
        </w:rPr>
        <w:t>建立学校实验室安全工作年度报告制度。每年</w:t>
      </w:r>
      <w:r>
        <w:rPr>
          <w:rFonts w:asciiTheme="minorEastAsia" w:hAnsiTheme="minorEastAsia" w:cs="宋体"/>
          <w:color w:val="000000" w:themeColor="text1"/>
          <w:kern w:val="0"/>
          <w:sz w:val="24"/>
          <w:szCs w:val="24"/>
        </w:rPr>
        <w:t>12月份，</w:t>
      </w:r>
      <w:r>
        <w:rPr>
          <w:rFonts w:asciiTheme="minorEastAsia" w:hAnsiTheme="minorEastAsia" w:cs="宋体" w:hint="eastAsia"/>
          <w:color w:val="000000" w:themeColor="text1"/>
          <w:kern w:val="0"/>
          <w:sz w:val="24"/>
          <w:szCs w:val="24"/>
        </w:rPr>
        <w:t>学校应系统的检查和总结实验室安全工作，科学分析不同专业门类实验室、不同岗位、不同人员的安全风险因素和行为，以及采取针对性管理措施，消除安全隐患等所取得的经验与教训。按上级要求形成实验室安全管理年报，完成校内、校外实验室安全管理信息交流。</w:t>
      </w:r>
    </w:p>
    <w:p w14:paraId="155A48A6" w14:textId="77777777" w:rsidR="000E7C14"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5.4</w:t>
      </w:r>
      <w:r>
        <w:rPr>
          <w:rFonts w:asciiTheme="minorEastAsia" w:hAnsiTheme="minorEastAsia" w:cs="宋体" w:hint="eastAsia"/>
          <w:bCs/>
          <w:color w:val="000000" w:themeColor="text1"/>
          <w:kern w:val="0"/>
          <w:sz w:val="24"/>
          <w:szCs w:val="24"/>
        </w:rPr>
        <w:t>安全教育</w:t>
      </w:r>
    </w:p>
    <w:p w14:paraId="43A1B63C" w14:textId="77777777" w:rsidR="000E7C14"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5.4.1</w:t>
      </w:r>
      <w:r>
        <w:rPr>
          <w:rFonts w:asciiTheme="minorEastAsia" w:hAnsiTheme="minorEastAsia" w:cs="宋体" w:hint="eastAsia"/>
          <w:color w:val="000000" w:themeColor="text1"/>
          <w:kern w:val="0"/>
          <w:sz w:val="24"/>
          <w:szCs w:val="24"/>
        </w:rPr>
        <w:t>建立实验室的安全准入制度。二级学院必须对实验室管理人员和任课教师，必须进行全面的安全教育和技能培训。根据本实验室的特点，从安全意识培养、安全知识学习、安全技能训练等多方面进行安全教育，提高教师的责任意识、防范意识、管理意识，成为实验室安全责任</w:t>
      </w:r>
      <w:r>
        <w:rPr>
          <w:rFonts w:asciiTheme="minorEastAsia" w:hAnsiTheme="minorEastAsia" w:cs="宋体" w:hint="eastAsia"/>
          <w:color w:val="000000" w:themeColor="text1"/>
          <w:kern w:val="0"/>
          <w:sz w:val="24"/>
          <w:szCs w:val="24"/>
        </w:rPr>
        <w:lastRenderedPageBreak/>
        <w:t>人以及学生安全教育的主体。</w:t>
      </w:r>
      <w:r>
        <w:rPr>
          <w:rFonts w:hint="eastAsia"/>
          <w:color w:val="000000" w:themeColor="text1"/>
          <w:sz w:val="24"/>
          <w:szCs w:val="24"/>
        </w:rPr>
        <w:t>特殊工种须经劳动局安全技术培训，持劳动局颁发的合格证书上岗操作。</w:t>
      </w:r>
    </w:p>
    <w:p w14:paraId="2DD902E6" w14:textId="77777777" w:rsidR="000E7C14"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5.4.2</w:t>
      </w:r>
      <w:r>
        <w:rPr>
          <w:rFonts w:asciiTheme="minorEastAsia" w:hAnsiTheme="minorEastAsia" w:cs="宋体" w:hint="eastAsia"/>
          <w:color w:val="000000" w:themeColor="text1"/>
          <w:kern w:val="0"/>
          <w:sz w:val="24"/>
          <w:szCs w:val="24"/>
        </w:rPr>
        <w:t>首次进入实验室上课的师生</w:t>
      </w:r>
      <w:r>
        <w:rPr>
          <w:rFonts w:hint="eastAsia"/>
          <w:color w:val="000000" w:themeColor="text1"/>
          <w:sz w:val="24"/>
          <w:szCs w:val="24"/>
        </w:rPr>
        <w:t>（包括外来实习、协作以及外来施工人员）</w:t>
      </w:r>
      <w:r>
        <w:rPr>
          <w:rFonts w:asciiTheme="minorEastAsia" w:hAnsiTheme="minorEastAsia" w:cs="宋体" w:hint="eastAsia"/>
          <w:color w:val="000000" w:themeColor="text1"/>
          <w:kern w:val="0"/>
          <w:sz w:val="24"/>
          <w:szCs w:val="24"/>
        </w:rPr>
        <w:t>必须进行安全教育。未经相关安全教育和未取得合格成绩者不得上课；有特殊要求的实验课程，可开设有学分的安全教育课程。</w:t>
      </w:r>
    </w:p>
    <w:p w14:paraId="795108FE" w14:textId="77777777" w:rsidR="000E7C14" w:rsidRDefault="00000000">
      <w:pPr>
        <w:spacing w:line="360" w:lineRule="auto"/>
        <w:rPr>
          <w:color w:val="000000" w:themeColor="text1"/>
          <w:sz w:val="24"/>
          <w:szCs w:val="24"/>
        </w:rPr>
      </w:pPr>
      <w:r>
        <w:rPr>
          <w:color w:val="000000" w:themeColor="text1"/>
          <w:sz w:val="24"/>
          <w:szCs w:val="24"/>
        </w:rPr>
        <w:t>5.4.3</w:t>
      </w:r>
      <w:r>
        <w:rPr>
          <w:rFonts w:hint="eastAsia"/>
          <w:color w:val="000000" w:themeColor="text1"/>
          <w:sz w:val="24"/>
          <w:szCs w:val="24"/>
        </w:rPr>
        <w:t>安全教育环节及内容。原则上坚持“三级安全教育”。</w:t>
      </w:r>
    </w:p>
    <w:p w14:paraId="34D2F781" w14:textId="77777777" w:rsidR="000E7C14" w:rsidRDefault="00000000">
      <w:pPr>
        <w:spacing w:line="360" w:lineRule="auto"/>
        <w:ind w:firstLineChars="236" w:firstLine="566"/>
        <w:rPr>
          <w:color w:val="000000" w:themeColor="text1"/>
          <w:sz w:val="24"/>
          <w:szCs w:val="24"/>
        </w:rPr>
      </w:pPr>
      <w:r>
        <w:rPr>
          <w:rFonts w:hint="eastAsia"/>
          <w:color w:val="000000" w:themeColor="text1"/>
          <w:sz w:val="24"/>
          <w:szCs w:val="24"/>
        </w:rPr>
        <w:t>一级安全教育：由二级学院实验中心负责，主要介绍实验中心（实验室）基本概况、面向专业；重点讲述与开设实验</w:t>
      </w:r>
      <w:proofErr w:type="gramStart"/>
      <w:r>
        <w:rPr>
          <w:rFonts w:hint="eastAsia"/>
          <w:color w:val="000000" w:themeColor="text1"/>
          <w:sz w:val="24"/>
          <w:szCs w:val="24"/>
        </w:rPr>
        <w:t>课有关</w:t>
      </w:r>
      <w:proofErr w:type="gramEnd"/>
      <w:r>
        <w:rPr>
          <w:rFonts w:hint="eastAsia"/>
          <w:color w:val="000000" w:themeColor="text1"/>
          <w:sz w:val="24"/>
          <w:szCs w:val="24"/>
        </w:rPr>
        <w:t>的安全教育的必要性及职业相关的安全法规政策、安全知识、典型案例、经验教训等。</w:t>
      </w:r>
    </w:p>
    <w:p w14:paraId="1C6DD3D3" w14:textId="77777777" w:rsidR="000E7C14" w:rsidRDefault="00000000">
      <w:pPr>
        <w:spacing w:line="360" w:lineRule="auto"/>
        <w:ind w:firstLineChars="236" w:firstLine="566"/>
        <w:rPr>
          <w:color w:val="000000" w:themeColor="text1"/>
          <w:sz w:val="24"/>
          <w:szCs w:val="24"/>
        </w:rPr>
      </w:pPr>
      <w:r>
        <w:rPr>
          <w:rFonts w:hint="eastAsia"/>
          <w:color w:val="000000" w:themeColor="text1"/>
          <w:sz w:val="24"/>
          <w:szCs w:val="24"/>
        </w:rPr>
        <w:t>二级安全教育：由实验室负责人或管理员负责，主要介绍本实验室基本情况、设备配置、安全操作规程、安全管理制度、安全守则等内容。</w:t>
      </w:r>
    </w:p>
    <w:p w14:paraId="3C6415D3" w14:textId="77777777" w:rsidR="000E7C14" w:rsidRDefault="00000000">
      <w:pPr>
        <w:spacing w:line="360" w:lineRule="auto"/>
        <w:ind w:firstLineChars="236" w:firstLine="566"/>
        <w:rPr>
          <w:color w:val="000000" w:themeColor="text1"/>
          <w:sz w:val="24"/>
          <w:szCs w:val="24"/>
        </w:rPr>
      </w:pPr>
      <w:r>
        <w:rPr>
          <w:rFonts w:hint="eastAsia"/>
          <w:color w:val="000000" w:themeColor="text1"/>
          <w:sz w:val="24"/>
          <w:szCs w:val="24"/>
        </w:rPr>
        <w:t>三级安全教育：由实验指导老师负责，根据课程特点和实验项目具体情况，主要讲述安全操作规范、安全防护措施、安全技能常识、一般事故的预防以及应急状态处理等基本知识。</w:t>
      </w:r>
    </w:p>
    <w:p w14:paraId="66A62720" w14:textId="77777777" w:rsidR="000E7C14" w:rsidRDefault="00000000">
      <w:pPr>
        <w:spacing w:line="360" w:lineRule="auto"/>
        <w:ind w:firstLineChars="236" w:firstLine="566"/>
        <w:rPr>
          <w:rFonts w:asciiTheme="minorEastAsia" w:hAnsiTheme="minorEastAsia" w:hint="eastAsia"/>
          <w:color w:val="000000" w:themeColor="text1"/>
          <w:sz w:val="24"/>
          <w:szCs w:val="24"/>
        </w:rPr>
      </w:pPr>
      <w:r>
        <w:rPr>
          <w:rFonts w:hint="eastAsia"/>
          <w:color w:val="000000" w:themeColor="text1"/>
          <w:sz w:val="24"/>
          <w:szCs w:val="24"/>
        </w:rPr>
        <w:t>学生参加各类竞赛活动，由指导教师负责安全再教育，包括实验室安全制度、参赛过程中的安全注意事项、可能出现的故障、应对措施等，明确学生应承担的安全责任。任何情况下都不允许单个学生独自在实验室开展实验。</w:t>
      </w:r>
    </w:p>
    <w:p w14:paraId="0F37F0E9" w14:textId="77777777" w:rsidR="000E7C14"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5.4.4</w:t>
      </w:r>
      <w:r>
        <w:rPr>
          <w:rFonts w:hint="eastAsia"/>
          <w:color w:val="000000" w:themeColor="text1"/>
          <w:sz w:val="24"/>
          <w:szCs w:val="24"/>
        </w:rPr>
        <w:t>逐步构建实验安全教育体系。建立实验室基础信息平台、安全检查平台、安全教育考试平台，培养师生安全意识，树立安全理念；通过实验教学提高学生规范操作和防护技能；参加实验室安全知识竞赛提升学生的综合安全技能。将安全意识、安全知识、安全技能和安全心理的教育，贯穿大学四年的实践教学全过程，培养学生的专业素养和职业精神。</w:t>
      </w:r>
      <w:r>
        <w:rPr>
          <w:rFonts w:asciiTheme="minorEastAsia" w:hAnsiTheme="minorEastAsia"/>
          <w:color w:val="000000" w:themeColor="text1"/>
          <w:sz w:val="24"/>
          <w:szCs w:val="24"/>
        </w:rPr>
        <w:t xml:space="preserve"> </w:t>
      </w:r>
    </w:p>
    <w:p w14:paraId="7021DEE7" w14:textId="77777777" w:rsidR="000E7C14"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5.5</w:t>
      </w:r>
      <w:r>
        <w:rPr>
          <w:rFonts w:hint="eastAsia"/>
          <w:color w:val="000000" w:themeColor="text1"/>
          <w:sz w:val="24"/>
          <w:szCs w:val="24"/>
        </w:rPr>
        <w:t>日常安全管理</w:t>
      </w:r>
    </w:p>
    <w:p w14:paraId="535C169C" w14:textId="77777777" w:rsidR="000E7C14"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5.5.1</w:t>
      </w:r>
      <w:r>
        <w:rPr>
          <w:rFonts w:asciiTheme="minorEastAsia" w:hAnsiTheme="minorEastAsia" w:cs="宋体" w:hint="eastAsia"/>
          <w:color w:val="000000" w:themeColor="text1"/>
          <w:kern w:val="0"/>
          <w:sz w:val="24"/>
          <w:szCs w:val="24"/>
        </w:rPr>
        <w:t>学校各级领导及员工必须牢固树立“安全第一、预防为主”的思想。把安全宣传教育、排除安全隐患，作为日常工作内容之一，逐步形成安全工作全员、全过程的管理局面。</w:t>
      </w:r>
    </w:p>
    <w:p w14:paraId="0EDC506B" w14:textId="77777777" w:rsidR="000E7C14"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5.5.2</w:t>
      </w:r>
      <w:r>
        <w:rPr>
          <w:rFonts w:hint="eastAsia"/>
          <w:color w:val="000000" w:themeColor="text1"/>
          <w:sz w:val="24"/>
          <w:szCs w:val="24"/>
        </w:rPr>
        <w:t>实验室管理员负责本实验室日常安全管理工作，课前、课后必须检查实验室环境、实验设备以及水电气等设施的安全状况，发现问题及时处理。无法解决的问题应暂停开课。</w:t>
      </w:r>
    </w:p>
    <w:p w14:paraId="3505C202" w14:textId="77777777" w:rsidR="000E7C14"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5.5.3</w:t>
      </w:r>
      <w:r>
        <w:rPr>
          <w:rFonts w:hint="eastAsia"/>
          <w:color w:val="000000" w:themeColor="text1"/>
          <w:sz w:val="24"/>
          <w:szCs w:val="24"/>
        </w:rPr>
        <w:t>对有安全要求（或安全危险）的设备，必须认真检查，防护设施应开启试运行，确保良好才能使用。对特殊实验材料的使用，需严格遵循管理规定，领取后做好相应防护措施，避免发生意外情况。</w:t>
      </w:r>
    </w:p>
    <w:p w14:paraId="38F095DA" w14:textId="77777777" w:rsidR="000E7C14" w:rsidRDefault="00000000">
      <w:pPr>
        <w:spacing w:line="360" w:lineRule="auto"/>
        <w:rPr>
          <w:rFonts w:asciiTheme="minorEastAsia" w:hAnsiTheme="minorEastAsia" w:hint="eastAsia"/>
          <w:color w:val="000000" w:themeColor="text1"/>
          <w:sz w:val="24"/>
          <w:szCs w:val="24"/>
        </w:rPr>
      </w:pPr>
      <w:r>
        <w:rPr>
          <w:color w:val="000000" w:themeColor="text1"/>
          <w:sz w:val="24"/>
          <w:szCs w:val="24"/>
        </w:rPr>
        <w:lastRenderedPageBreak/>
        <w:t>5.5.4</w:t>
      </w:r>
      <w:r>
        <w:rPr>
          <w:rFonts w:hint="eastAsia"/>
          <w:color w:val="000000" w:themeColor="text1"/>
          <w:sz w:val="24"/>
          <w:szCs w:val="24"/>
        </w:rPr>
        <w:t>开课期间，实验室管理员对教师、学生的违章行为，有提示和指导纠正的责任，对严重违章者有停止操作（实验）的权利。</w:t>
      </w:r>
    </w:p>
    <w:p w14:paraId="00B19ED8" w14:textId="77777777" w:rsidR="000E7C14"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5.5.5</w:t>
      </w:r>
      <w:r>
        <w:rPr>
          <w:rFonts w:hint="eastAsia"/>
          <w:color w:val="000000" w:themeColor="text1"/>
          <w:sz w:val="24"/>
          <w:szCs w:val="24"/>
        </w:rPr>
        <w:t>实验指导教师在教学过程中，负责学生规范操作、安全制度执行、劳动防护用品穿戴等正确方法和良好习惯的培养，随时纠正不安全因素、禁止违章行为。对集中的不安全现象，应列入安全教育课程内容重点讲述。</w:t>
      </w:r>
    </w:p>
    <w:p w14:paraId="3927855B" w14:textId="77777777" w:rsidR="000E7C14"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5.5.6</w:t>
      </w:r>
      <w:r>
        <w:rPr>
          <w:rFonts w:hint="eastAsia"/>
          <w:color w:val="000000" w:themeColor="text1"/>
          <w:sz w:val="24"/>
          <w:szCs w:val="24"/>
        </w:rPr>
        <w:t>任课教师有责任将上课发现的不安全问题或建议，及时与实验室管理员沟通，尽快形成防范措施。</w:t>
      </w:r>
    </w:p>
    <w:p w14:paraId="3C33D970" w14:textId="77777777" w:rsidR="000E7C14"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5.5.7</w:t>
      </w:r>
      <w:r>
        <w:rPr>
          <w:rFonts w:hint="eastAsia"/>
          <w:color w:val="000000" w:themeColor="text1"/>
          <w:sz w:val="24"/>
          <w:szCs w:val="24"/>
        </w:rPr>
        <w:t>实验室管理员应积极配合学校各级的安全检查工作，主动查找实验室运行和教学过程中的不安全因素，提出切实可行的防范措施，总结安全管理工作的经验与教训，不断提高实验室安全管理的专业知识和能力。</w:t>
      </w:r>
    </w:p>
    <w:p w14:paraId="2C2979C7" w14:textId="77777777" w:rsidR="000E7C14" w:rsidRDefault="00000000">
      <w:pPr>
        <w:spacing w:line="360" w:lineRule="auto"/>
        <w:rPr>
          <w:rFonts w:asciiTheme="minorEastAsia" w:hAnsiTheme="minorEastAsia" w:cs="宋体" w:hint="eastAsia"/>
          <w:color w:val="000000" w:themeColor="text1"/>
          <w:kern w:val="0"/>
          <w:sz w:val="24"/>
          <w:szCs w:val="24"/>
        </w:rPr>
      </w:pPr>
      <w:r>
        <w:rPr>
          <w:color w:val="000000" w:themeColor="text1"/>
          <w:sz w:val="24"/>
          <w:szCs w:val="24"/>
        </w:rPr>
        <w:t>5.5.8</w:t>
      </w:r>
      <w:proofErr w:type="gramStart"/>
      <w:r>
        <w:rPr>
          <w:rFonts w:asciiTheme="minorEastAsia" w:hAnsiTheme="minorEastAsia" w:cs="宋体" w:hint="eastAsia"/>
          <w:bCs/>
          <w:color w:val="000000" w:themeColor="text1"/>
          <w:kern w:val="0"/>
          <w:sz w:val="24"/>
          <w:szCs w:val="24"/>
        </w:rPr>
        <w:t>各</w:t>
      </w:r>
      <w:proofErr w:type="gramEnd"/>
      <w:r>
        <w:rPr>
          <w:rFonts w:asciiTheme="minorEastAsia" w:hAnsiTheme="minorEastAsia" w:cs="宋体" w:hint="eastAsia"/>
          <w:bCs/>
          <w:color w:val="000000" w:themeColor="text1"/>
          <w:kern w:val="0"/>
          <w:sz w:val="24"/>
          <w:szCs w:val="24"/>
        </w:rPr>
        <w:t>学院应根据实验室的具体情况，</w:t>
      </w:r>
      <w:r>
        <w:rPr>
          <w:rFonts w:asciiTheme="minorEastAsia" w:hAnsiTheme="minorEastAsia" w:cs="宋体" w:hint="eastAsia"/>
          <w:color w:val="000000" w:themeColor="text1"/>
          <w:kern w:val="0"/>
          <w:sz w:val="24"/>
          <w:szCs w:val="24"/>
        </w:rPr>
        <w:t>统筹制定实验室安全应急预案，建立健全应急演练制度。遇到事故状态，应迅速启动应急预案，避免盲目处置。</w:t>
      </w:r>
    </w:p>
    <w:p w14:paraId="4E3183D6" w14:textId="77777777" w:rsidR="000E7C14" w:rsidRDefault="00000000">
      <w:pPr>
        <w:spacing w:line="360" w:lineRule="auto"/>
        <w:rPr>
          <w:rFonts w:asciiTheme="minorEastAsia" w:hAnsiTheme="minorEastAsia" w:hint="eastAsia"/>
          <w:color w:val="000000" w:themeColor="text1"/>
          <w:sz w:val="24"/>
          <w:szCs w:val="24"/>
        </w:rPr>
      </w:pPr>
      <w:r>
        <w:rPr>
          <w:rFonts w:cs="宋体"/>
          <w:color w:val="000000" w:themeColor="text1"/>
          <w:kern w:val="0"/>
          <w:sz w:val="24"/>
          <w:szCs w:val="24"/>
        </w:rPr>
        <w:t>5.5.9</w:t>
      </w:r>
      <w:r>
        <w:rPr>
          <w:rFonts w:hint="eastAsia"/>
          <w:color w:val="000000" w:themeColor="text1"/>
          <w:sz w:val="24"/>
          <w:szCs w:val="24"/>
        </w:rPr>
        <w:t>实验室的防火（防爆）、防盗、防破坏等技防设施，由学校统一负责规划实施。有特殊安全要求的实验室，可提出申请，学校统筹处理。</w:t>
      </w:r>
    </w:p>
    <w:p w14:paraId="5C9B7997" w14:textId="77777777" w:rsidR="000E7C14" w:rsidRDefault="00000000">
      <w:pPr>
        <w:spacing w:line="360" w:lineRule="auto"/>
        <w:rPr>
          <w:rFonts w:asciiTheme="minorEastAsia" w:hAnsiTheme="minorEastAsia" w:cs="宋体" w:hint="eastAsia"/>
          <w:color w:val="000000" w:themeColor="text1"/>
          <w:kern w:val="0"/>
          <w:sz w:val="24"/>
          <w:szCs w:val="24"/>
        </w:rPr>
      </w:pPr>
      <w:r>
        <w:rPr>
          <w:color w:val="000000" w:themeColor="text1"/>
          <w:sz w:val="24"/>
          <w:szCs w:val="24"/>
        </w:rPr>
        <w:t>5.6.</w:t>
      </w:r>
      <w:r>
        <w:rPr>
          <w:rFonts w:asciiTheme="minorEastAsia" w:hAnsiTheme="minorEastAsia" w:cs="宋体"/>
          <w:b/>
          <w:color w:val="000000" w:themeColor="text1"/>
          <w:kern w:val="0"/>
          <w:sz w:val="24"/>
          <w:szCs w:val="24"/>
        </w:rPr>
        <w:t xml:space="preserve"> </w:t>
      </w:r>
      <w:r>
        <w:rPr>
          <w:rFonts w:asciiTheme="minorEastAsia" w:hAnsiTheme="minorEastAsia" w:cs="宋体" w:hint="eastAsia"/>
          <w:color w:val="000000" w:themeColor="text1"/>
          <w:kern w:val="0"/>
          <w:sz w:val="24"/>
          <w:szCs w:val="24"/>
        </w:rPr>
        <w:t>危化品和贵重材料管理</w:t>
      </w:r>
    </w:p>
    <w:p w14:paraId="007F71FD" w14:textId="77777777" w:rsidR="000E7C14" w:rsidRDefault="00000000">
      <w:pPr>
        <w:spacing w:line="360" w:lineRule="auto"/>
        <w:rPr>
          <w:rFonts w:ascii="宋体" w:eastAsia="宋体" w:hAnsi="宋体" w:cs="宋体" w:hint="eastAsia"/>
          <w:color w:val="000000" w:themeColor="text1"/>
          <w:kern w:val="0"/>
          <w:sz w:val="24"/>
          <w:szCs w:val="24"/>
        </w:rPr>
      </w:pPr>
      <w:r>
        <w:rPr>
          <w:rFonts w:cs="宋体"/>
          <w:color w:val="000000" w:themeColor="text1"/>
          <w:kern w:val="0"/>
          <w:sz w:val="24"/>
          <w:szCs w:val="24"/>
        </w:rPr>
        <w:t>5.6.1</w:t>
      </w:r>
      <w:r>
        <w:rPr>
          <w:rFonts w:hint="eastAsia"/>
          <w:color w:val="000000" w:themeColor="text1"/>
          <w:sz w:val="24"/>
          <w:szCs w:val="24"/>
        </w:rPr>
        <w:t>危化品</w:t>
      </w:r>
      <w:r>
        <w:rPr>
          <w:rFonts w:ascii="宋体" w:eastAsia="宋体" w:hAnsi="宋体" w:cs="宋体" w:hint="eastAsia"/>
          <w:color w:val="000000" w:themeColor="text1"/>
          <w:kern w:val="0"/>
          <w:sz w:val="24"/>
          <w:szCs w:val="24"/>
        </w:rPr>
        <w:t>指具有毒害、腐蚀、爆炸、燃烧、助燃等性质，对人体、设施、环境具有危害的剧毒化学品和其他化学品。</w:t>
      </w:r>
      <w:r>
        <w:rPr>
          <w:rFonts w:hint="eastAsia"/>
          <w:color w:val="000000" w:themeColor="text1"/>
          <w:sz w:val="24"/>
          <w:szCs w:val="24"/>
        </w:rPr>
        <w:t>贵重金属及材料指铂金、黄金、白银、高纯度金属材料及制品，高级水晶、宝石、钻石等材料及制品。</w:t>
      </w:r>
    </w:p>
    <w:p w14:paraId="3444982E" w14:textId="77777777" w:rsidR="000E7C14" w:rsidRDefault="00000000">
      <w:pPr>
        <w:spacing w:line="360" w:lineRule="auto"/>
        <w:rPr>
          <w:rFonts w:asciiTheme="minorEastAsia" w:hAnsiTheme="minorEastAsia" w:cs="宋体" w:hint="eastAsia"/>
          <w:color w:val="000000" w:themeColor="text1"/>
          <w:kern w:val="0"/>
          <w:sz w:val="24"/>
          <w:szCs w:val="24"/>
        </w:rPr>
      </w:pPr>
      <w:r>
        <w:rPr>
          <w:rFonts w:eastAsia="宋体" w:cs="宋体"/>
          <w:color w:val="000000" w:themeColor="text1"/>
          <w:kern w:val="0"/>
          <w:sz w:val="24"/>
          <w:szCs w:val="24"/>
        </w:rPr>
        <w:t>5.6.2</w:t>
      </w:r>
      <w:r>
        <w:rPr>
          <w:rFonts w:hint="eastAsia"/>
          <w:color w:val="000000" w:themeColor="text1"/>
          <w:sz w:val="24"/>
          <w:szCs w:val="24"/>
        </w:rPr>
        <w:t>基本原则。教学、科研过程应尽量避开使用危化品和贵重材料，或尽量使用替代品。</w:t>
      </w:r>
      <w:r>
        <w:rPr>
          <w:rFonts w:asciiTheme="minorEastAsia" w:hAnsiTheme="minorEastAsia" w:cs="宋体" w:hint="eastAsia"/>
          <w:color w:val="000000" w:themeColor="text1"/>
          <w:kern w:val="0"/>
          <w:sz w:val="24"/>
          <w:szCs w:val="24"/>
        </w:rPr>
        <w:t>坚持“随用随购，少存多购”的原则。</w:t>
      </w:r>
    </w:p>
    <w:p w14:paraId="51D8D196" w14:textId="1EA9CEDA" w:rsidR="000E7C14" w:rsidRDefault="00000000">
      <w:pPr>
        <w:spacing w:line="360" w:lineRule="auto"/>
        <w:rPr>
          <w:color w:val="000000" w:themeColor="text1"/>
          <w:sz w:val="24"/>
          <w:szCs w:val="24"/>
        </w:rPr>
      </w:pPr>
      <w:r>
        <w:rPr>
          <w:rFonts w:cs="宋体"/>
          <w:color w:val="000000" w:themeColor="text1"/>
          <w:kern w:val="0"/>
          <w:sz w:val="24"/>
          <w:szCs w:val="24"/>
        </w:rPr>
        <w:t>5.6.3</w:t>
      </w:r>
      <w:r>
        <w:rPr>
          <w:rFonts w:asciiTheme="minorEastAsia" w:hAnsiTheme="minorEastAsia" w:cs="宋体" w:hint="eastAsia"/>
          <w:color w:val="000000" w:themeColor="text1"/>
          <w:kern w:val="0"/>
          <w:sz w:val="24"/>
          <w:szCs w:val="24"/>
        </w:rPr>
        <w:t>学校对实验教学所涉及的危化品、贵重材料等物品</w:t>
      </w:r>
      <w:r>
        <w:rPr>
          <w:rFonts w:hint="eastAsia"/>
          <w:color w:val="000000" w:themeColor="text1"/>
          <w:sz w:val="24"/>
          <w:szCs w:val="24"/>
        </w:rPr>
        <w:t>管理依据学校相关文件执行，学校负责审批、采购、存储、废弃物回收处理；学院负责申购、领取、暂存、使用等管理。</w:t>
      </w:r>
    </w:p>
    <w:p w14:paraId="05ED52A5" w14:textId="77777777" w:rsidR="000E7C14" w:rsidRDefault="00000000">
      <w:pPr>
        <w:spacing w:line="360" w:lineRule="auto"/>
        <w:rPr>
          <w:color w:val="000000" w:themeColor="text1"/>
          <w:sz w:val="24"/>
          <w:szCs w:val="24"/>
        </w:rPr>
      </w:pPr>
      <w:r>
        <w:rPr>
          <w:color w:val="000000" w:themeColor="text1"/>
          <w:sz w:val="24"/>
          <w:szCs w:val="24"/>
        </w:rPr>
        <w:t>5.6.4</w:t>
      </w:r>
      <w:r>
        <w:rPr>
          <w:rFonts w:hint="eastAsia"/>
          <w:color w:val="000000" w:themeColor="text1"/>
          <w:sz w:val="24"/>
          <w:szCs w:val="24"/>
        </w:rPr>
        <w:t>凡涉及使用危化品和贵重材料的实验室，必须严格执行国家有关危化品和贵重金属管理文件的规定。并根据工作实际（申购、审批、领取、保管、使用、废物处理等），制定具体的管理制度。</w:t>
      </w:r>
    </w:p>
    <w:p w14:paraId="7C882DAC" w14:textId="77777777" w:rsidR="000E7C14" w:rsidRDefault="00000000">
      <w:pPr>
        <w:spacing w:line="360" w:lineRule="auto"/>
        <w:rPr>
          <w:color w:val="000000" w:themeColor="text1"/>
          <w:sz w:val="24"/>
          <w:szCs w:val="24"/>
        </w:rPr>
      </w:pPr>
      <w:r>
        <w:rPr>
          <w:color w:val="000000" w:themeColor="text1"/>
          <w:sz w:val="24"/>
          <w:szCs w:val="24"/>
        </w:rPr>
        <w:t>5.6.5</w:t>
      </w:r>
      <w:r>
        <w:rPr>
          <w:rFonts w:hint="eastAsia"/>
          <w:color w:val="000000" w:themeColor="text1"/>
          <w:sz w:val="24"/>
          <w:szCs w:val="24"/>
        </w:rPr>
        <w:t>建立和健全危化品和贵重材料的安全管理责任制和安全操作规程，认真落实每一环节管理内容。院系可根据具体情况，组织必要的安全管理和安全技术培训，提高安全管理水平和安全技术防范能力。</w:t>
      </w:r>
    </w:p>
    <w:p w14:paraId="0F4D265C" w14:textId="77777777" w:rsidR="000E7C14" w:rsidRDefault="00000000">
      <w:pPr>
        <w:spacing w:line="360" w:lineRule="auto"/>
        <w:rPr>
          <w:color w:val="000000" w:themeColor="text1"/>
          <w:sz w:val="24"/>
          <w:szCs w:val="24"/>
        </w:rPr>
      </w:pPr>
      <w:r>
        <w:rPr>
          <w:color w:val="000000" w:themeColor="text1"/>
          <w:sz w:val="24"/>
          <w:szCs w:val="24"/>
        </w:rPr>
        <w:lastRenderedPageBreak/>
        <w:t>5.6.6</w:t>
      </w:r>
      <w:r>
        <w:rPr>
          <w:rFonts w:hint="eastAsia"/>
          <w:color w:val="000000" w:themeColor="text1"/>
          <w:sz w:val="24"/>
          <w:szCs w:val="24"/>
        </w:rPr>
        <w:t>存放与保管。易燃易爆品采取“随用随领，暂时存放，尽快使用，余量退库”的办法，暂时存放应注意远离明火、热源，阴凉通风，避免静电。有毒有害物品应根据不同性质，分类分别独立存放，注意防盗。贵重金属及材料应存放于有防盗措施的库房或保险柜中。</w:t>
      </w:r>
    </w:p>
    <w:p w14:paraId="1DC5491A" w14:textId="77777777" w:rsidR="000E7C14" w:rsidRDefault="00000000">
      <w:pPr>
        <w:spacing w:line="360" w:lineRule="auto"/>
        <w:rPr>
          <w:rFonts w:asciiTheme="minorEastAsia" w:hAnsiTheme="minorEastAsia" w:cs="宋体" w:hint="eastAsia"/>
          <w:color w:val="000000" w:themeColor="text1"/>
          <w:kern w:val="0"/>
          <w:sz w:val="24"/>
          <w:szCs w:val="24"/>
        </w:rPr>
      </w:pPr>
      <w:r>
        <w:rPr>
          <w:color w:val="000000" w:themeColor="text1"/>
          <w:sz w:val="24"/>
          <w:szCs w:val="24"/>
        </w:rPr>
        <w:t>5.6.7</w:t>
      </w:r>
      <w:r>
        <w:rPr>
          <w:rFonts w:asciiTheme="minorEastAsia" w:hAnsiTheme="minorEastAsia" w:cs="宋体" w:hint="eastAsia"/>
          <w:color w:val="000000" w:themeColor="text1"/>
          <w:kern w:val="0"/>
          <w:sz w:val="24"/>
          <w:szCs w:val="24"/>
        </w:rPr>
        <w:t>危化品和贵重材料的出入库管理，必须建立存放、出库、退库等环节的全流程安全管理和监控制度。明确各级审核、批复权限，</w:t>
      </w:r>
      <w:r>
        <w:rPr>
          <w:rFonts w:hint="eastAsia"/>
          <w:color w:val="000000" w:themeColor="text1"/>
          <w:sz w:val="24"/>
          <w:szCs w:val="24"/>
        </w:rPr>
        <w:t>建立严格的出入库制度</w:t>
      </w:r>
      <w:r>
        <w:rPr>
          <w:rFonts w:asciiTheme="minorEastAsia" w:hAnsiTheme="minorEastAsia" w:cs="宋体" w:hint="eastAsia"/>
          <w:color w:val="000000" w:themeColor="text1"/>
          <w:kern w:val="0"/>
          <w:sz w:val="24"/>
          <w:szCs w:val="24"/>
        </w:rPr>
        <w:t>。</w:t>
      </w:r>
    </w:p>
    <w:p w14:paraId="34922E55" w14:textId="77777777" w:rsidR="000E7C14" w:rsidRDefault="00000000">
      <w:pPr>
        <w:spacing w:line="360" w:lineRule="auto"/>
        <w:rPr>
          <w:rFonts w:asciiTheme="minorEastAsia" w:hAnsiTheme="minorEastAsia" w:cs="宋体" w:hint="eastAsia"/>
          <w:color w:val="000000" w:themeColor="text1"/>
          <w:kern w:val="0"/>
          <w:sz w:val="24"/>
          <w:szCs w:val="24"/>
        </w:rPr>
      </w:pPr>
      <w:r>
        <w:rPr>
          <w:rFonts w:cs="宋体"/>
          <w:color w:val="000000" w:themeColor="text1"/>
          <w:kern w:val="0"/>
          <w:sz w:val="24"/>
          <w:szCs w:val="24"/>
        </w:rPr>
        <w:t>5.6.8</w:t>
      </w:r>
      <w:r>
        <w:rPr>
          <w:rFonts w:asciiTheme="minorEastAsia" w:hAnsiTheme="minorEastAsia" w:cs="宋体" w:hint="eastAsia"/>
          <w:color w:val="000000" w:themeColor="text1"/>
          <w:kern w:val="0"/>
          <w:sz w:val="24"/>
          <w:szCs w:val="24"/>
        </w:rPr>
        <w:t>危化品和贵重材料的保管与领用。必须设专人保管，有特殊要求的物品，实行“双人、双锁、双账”管理。领用手续必须完备，出入库必须计量或实物检验，认真填写出</w:t>
      </w:r>
      <w:proofErr w:type="gramStart"/>
      <w:r>
        <w:rPr>
          <w:rFonts w:asciiTheme="minorEastAsia" w:hAnsiTheme="minorEastAsia" w:cs="宋体" w:hint="eastAsia"/>
          <w:color w:val="000000" w:themeColor="text1"/>
          <w:kern w:val="0"/>
          <w:sz w:val="24"/>
          <w:szCs w:val="24"/>
        </w:rPr>
        <w:t>入库台</w:t>
      </w:r>
      <w:proofErr w:type="gramEnd"/>
      <w:r>
        <w:rPr>
          <w:rFonts w:asciiTheme="minorEastAsia" w:hAnsiTheme="minorEastAsia" w:cs="宋体" w:hint="eastAsia"/>
          <w:color w:val="000000" w:themeColor="text1"/>
          <w:kern w:val="0"/>
          <w:sz w:val="24"/>
          <w:szCs w:val="24"/>
        </w:rPr>
        <w:t>账，经办人签字，以及必要的情况说明。</w:t>
      </w:r>
    </w:p>
    <w:p w14:paraId="67083C15" w14:textId="77777777" w:rsidR="000E7C14" w:rsidRDefault="00000000">
      <w:pPr>
        <w:spacing w:line="360" w:lineRule="auto"/>
        <w:rPr>
          <w:color w:val="000000" w:themeColor="text1"/>
          <w:kern w:val="0"/>
          <w:sz w:val="24"/>
          <w:szCs w:val="24"/>
        </w:rPr>
      </w:pPr>
      <w:r>
        <w:rPr>
          <w:rFonts w:cs="宋体"/>
          <w:color w:val="000000" w:themeColor="text1"/>
          <w:kern w:val="0"/>
          <w:sz w:val="24"/>
          <w:szCs w:val="24"/>
        </w:rPr>
        <w:t>5.6.9</w:t>
      </w:r>
      <w:r>
        <w:rPr>
          <w:rFonts w:hint="eastAsia"/>
          <w:color w:val="000000" w:themeColor="text1"/>
          <w:kern w:val="0"/>
          <w:sz w:val="24"/>
          <w:szCs w:val="24"/>
        </w:rPr>
        <w:t>建立</w:t>
      </w:r>
      <w:r>
        <w:rPr>
          <w:rFonts w:asciiTheme="minorEastAsia" w:hAnsiTheme="minorEastAsia" w:cs="宋体" w:hint="eastAsia"/>
          <w:color w:val="000000" w:themeColor="text1"/>
          <w:kern w:val="0"/>
          <w:sz w:val="24"/>
          <w:szCs w:val="24"/>
        </w:rPr>
        <w:t>危化品和贵重材料</w:t>
      </w:r>
      <w:r>
        <w:rPr>
          <w:rFonts w:hint="eastAsia"/>
          <w:color w:val="000000" w:themeColor="text1"/>
          <w:kern w:val="0"/>
          <w:sz w:val="24"/>
          <w:szCs w:val="24"/>
        </w:rPr>
        <w:t>废弃物处置备案制度。危化品的废弃物处置由</w:t>
      </w:r>
      <w:proofErr w:type="gramStart"/>
      <w:r>
        <w:rPr>
          <w:rFonts w:hint="eastAsia"/>
          <w:color w:val="000000" w:themeColor="text1"/>
          <w:kern w:val="0"/>
          <w:sz w:val="24"/>
          <w:szCs w:val="24"/>
        </w:rPr>
        <w:t>学校后保处</w:t>
      </w:r>
      <w:proofErr w:type="gramEnd"/>
      <w:r>
        <w:rPr>
          <w:rFonts w:hint="eastAsia"/>
          <w:color w:val="000000" w:themeColor="text1"/>
          <w:kern w:val="0"/>
          <w:sz w:val="24"/>
          <w:szCs w:val="24"/>
        </w:rPr>
        <w:t>负责。贵重金属及材料的废弃物回收处置由学校资产处负责。</w:t>
      </w:r>
    </w:p>
    <w:p w14:paraId="41F5DD3A" w14:textId="77777777" w:rsidR="000E7C14" w:rsidRDefault="00000000">
      <w:pPr>
        <w:spacing w:line="360" w:lineRule="auto"/>
        <w:rPr>
          <w:color w:val="000000" w:themeColor="text1"/>
          <w:sz w:val="24"/>
          <w:szCs w:val="24"/>
        </w:rPr>
      </w:pPr>
      <w:r>
        <w:rPr>
          <w:color w:val="000000" w:themeColor="text1"/>
          <w:sz w:val="24"/>
          <w:szCs w:val="24"/>
        </w:rPr>
        <w:t>5.6.10</w:t>
      </w:r>
      <w:r>
        <w:rPr>
          <w:rFonts w:hint="eastAsia"/>
          <w:color w:val="000000" w:themeColor="text1"/>
          <w:sz w:val="24"/>
          <w:szCs w:val="24"/>
        </w:rPr>
        <w:t>学校每年对</w:t>
      </w:r>
      <w:r>
        <w:rPr>
          <w:rFonts w:asciiTheme="minorEastAsia" w:hAnsiTheme="minorEastAsia" w:cs="宋体" w:hint="eastAsia"/>
          <w:color w:val="000000" w:themeColor="text1"/>
          <w:kern w:val="0"/>
          <w:sz w:val="24"/>
          <w:szCs w:val="24"/>
        </w:rPr>
        <w:t>危化品和贵重材料</w:t>
      </w:r>
      <w:r>
        <w:rPr>
          <w:rFonts w:hint="eastAsia"/>
          <w:color w:val="000000" w:themeColor="text1"/>
          <w:sz w:val="24"/>
          <w:szCs w:val="24"/>
        </w:rPr>
        <w:t>进行一次专项检查。使用单位每年</w:t>
      </w:r>
      <w:r>
        <w:rPr>
          <w:color w:val="000000" w:themeColor="text1"/>
          <w:sz w:val="24"/>
          <w:szCs w:val="24"/>
        </w:rPr>
        <w:t>12</w:t>
      </w:r>
      <w:r>
        <w:rPr>
          <w:rFonts w:hint="eastAsia"/>
          <w:color w:val="000000" w:themeColor="text1"/>
          <w:sz w:val="24"/>
          <w:szCs w:val="24"/>
        </w:rPr>
        <w:t>月必须向</w:t>
      </w:r>
      <w:proofErr w:type="gramStart"/>
      <w:r>
        <w:rPr>
          <w:rFonts w:hint="eastAsia"/>
          <w:color w:val="000000" w:themeColor="text1"/>
          <w:sz w:val="24"/>
          <w:szCs w:val="24"/>
        </w:rPr>
        <w:t>学校后保处</w:t>
      </w:r>
      <w:proofErr w:type="gramEnd"/>
      <w:r>
        <w:rPr>
          <w:rFonts w:hint="eastAsia"/>
          <w:color w:val="000000" w:themeColor="text1"/>
          <w:sz w:val="24"/>
          <w:szCs w:val="24"/>
        </w:rPr>
        <w:t>和资产处提供</w:t>
      </w:r>
      <w:r>
        <w:rPr>
          <w:rFonts w:asciiTheme="minorEastAsia" w:hAnsiTheme="minorEastAsia" w:cs="宋体" w:hint="eastAsia"/>
          <w:color w:val="000000" w:themeColor="text1"/>
          <w:kern w:val="0"/>
          <w:sz w:val="24"/>
          <w:szCs w:val="24"/>
        </w:rPr>
        <w:t>危化品和贵重材料</w:t>
      </w:r>
      <w:r>
        <w:rPr>
          <w:rFonts w:hint="eastAsia"/>
          <w:color w:val="000000" w:themeColor="text1"/>
          <w:sz w:val="24"/>
          <w:szCs w:val="24"/>
        </w:rPr>
        <w:t>使用情况以及安全管理总结报告。</w:t>
      </w:r>
    </w:p>
    <w:p w14:paraId="1034CD9E" w14:textId="77777777" w:rsidR="000E7C14" w:rsidRDefault="00000000">
      <w:pPr>
        <w:spacing w:line="360" w:lineRule="auto"/>
        <w:rPr>
          <w:color w:val="000000" w:themeColor="text1"/>
          <w:sz w:val="24"/>
          <w:szCs w:val="24"/>
        </w:rPr>
      </w:pPr>
      <w:r>
        <w:rPr>
          <w:color w:val="000000" w:themeColor="text1"/>
          <w:sz w:val="24"/>
          <w:szCs w:val="24"/>
        </w:rPr>
        <w:t>5.7</w:t>
      </w:r>
      <w:r>
        <w:rPr>
          <w:rFonts w:hint="eastAsia"/>
          <w:color w:val="000000" w:themeColor="text1"/>
          <w:sz w:val="24"/>
          <w:szCs w:val="24"/>
        </w:rPr>
        <w:t>事故处理</w:t>
      </w:r>
    </w:p>
    <w:p w14:paraId="54C0EE2E" w14:textId="77777777" w:rsidR="000E7C14" w:rsidRDefault="00000000">
      <w:pPr>
        <w:spacing w:line="360" w:lineRule="auto"/>
        <w:rPr>
          <w:color w:val="000000" w:themeColor="text1"/>
          <w:sz w:val="24"/>
          <w:szCs w:val="24"/>
        </w:rPr>
      </w:pPr>
      <w:r>
        <w:rPr>
          <w:color w:val="000000" w:themeColor="text1"/>
          <w:sz w:val="24"/>
          <w:szCs w:val="24"/>
        </w:rPr>
        <w:t>5.7.1</w:t>
      </w:r>
      <w:r>
        <w:rPr>
          <w:rFonts w:hint="eastAsia"/>
          <w:color w:val="000000" w:themeColor="text1"/>
          <w:sz w:val="24"/>
          <w:szCs w:val="24"/>
        </w:rPr>
        <w:t>事故报告。无论发生何种（设备或人身）事故，都应快速启动应急预案，采取有效措施，防止事态扩大和蔓延，同时以电话或口头如实传达尽快报告学校。发生伤亡事故，应立即抢救伤员，保护现场，因抢救需变动现场时，必须事先做出标记（拍照或视频）。并立即向院领导和学校主管领导报告。</w:t>
      </w:r>
    </w:p>
    <w:p w14:paraId="5F1D5FBA" w14:textId="77777777" w:rsidR="000E7C14" w:rsidRDefault="00000000">
      <w:pPr>
        <w:spacing w:line="360" w:lineRule="auto"/>
        <w:rPr>
          <w:color w:val="000000" w:themeColor="text1"/>
          <w:sz w:val="24"/>
          <w:szCs w:val="24"/>
        </w:rPr>
      </w:pPr>
      <w:r>
        <w:rPr>
          <w:color w:val="000000" w:themeColor="text1"/>
          <w:sz w:val="24"/>
          <w:szCs w:val="24"/>
        </w:rPr>
        <w:t>5.7.2</w:t>
      </w:r>
      <w:r>
        <w:rPr>
          <w:rFonts w:hint="eastAsia"/>
          <w:color w:val="000000" w:themeColor="text1"/>
          <w:sz w:val="24"/>
          <w:szCs w:val="24"/>
        </w:rPr>
        <w:t>事故调查。由学校组织事故处理小组，负责事故调查和处理。事故当事人必须积极配合，不得瞒报、虚报、弄虚作假；事故单位应及时形成书面材料配合事故处理。所有参与人员必须对事故调查、数据、报告的正确性和时限性负责。调查组有权向事故当事人和单位有关人员了解情况和索取有关资料，任何人不得拒绝。</w:t>
      </w:r>
    </w:p>
    <w:p w14:paraId="04EE3957" w14:textId="77777777" w:rsidR="000E7C14" w:rsidRDefault="00000000">
      <w:pPr>
        <w:spacing w:line="360" w:lineRule="auto"/>
        <w:rPr>
          <w:color w:val="000000" w:themeColor="text1"/>
          <w:sz w:val="24"/>
          <w:szCs w:val="24"/>
        </w:rPr>
      </w:pPr>
      <w:r>
        <w:rPr>
          <w:color w:val="000000" w:themeColor="text1"/>
          <w:sz w:val="24"/>
          <w:szCs w:val="24"/>
        </w:rPr>
        <w:t>5.7.3</w:t>
      </w:r>
      <w:r>
        <w:rPr>
          <w:rFonts w:hint="eastAsia"/>
          <w:color w:val="000000" w:themeColor="text1"/>
          <w:sz w:val="24"/>
          <w:szCs w:val="24"/>
        </w:rPr>
        <w:t>事故处理。根据事故的责任、性质、级别、损失以及事故情节轻重，按照学校有关规定，对肇事者和责任人分别给予行政或经济处罚，严重者将依法追究刑事责任。</w:t>
      </w:r>
    </w:p>
    <w:p w14:paraId="421A7F1E" w14:textId="77777777" w:rsidR="000E7C14" w:rsidRDefault="00000000">
      <w:pPr>
        <w:spacing w:line="360" w:lineRule="auto"/>
        <w:rPr>
          <w:color w:val="000000" w:themeColor="text1"/>
          <w:sz w:val="24"/>
          <w:szCs w:val="24"/>
        </w:rPr>
      </w:pPr>
      <w:r>
        <w:rPr>
          <w:color w:val="000000" w:themeColor="text1"/>
          <w:sz w:val="24"/>
          <w:szCs w:val="24"/>
        </w:rPr>
        <w:t>5.7.4</w:t>
      </w:r>
      <w:r>
        <w:rPr>
          <w:rFonts w:hint="eastAsia"/>
          <w:color w:val="000000" w:themeColor="text1"/>
          <w:sz w:val="24"/>
          <w:szCs w:val="24"/>
        </w:rPr>
        <w:t>重大事故。应按规定，由学校负责向上海市有关部门报告。</w:t>
      </w:r>
    </w:p>
    <w:p w14:paraId="0D8B8ACD" w14:textId="77777777" w:rsidR="000E7C14" w:rsidRDefault="00000000">
      <w:pPr>
        <w:spacing w:line="360" w:lineRule="auto"/>
        <w:rPr>
          <w:color w:val="000000" w:themeColor="text1"/>
          <w:sz w:val="24"/>
          <w:szCs w:val="24"/>
        </w:rPr>
      </w:pPr>
      <w:r>
        <w:rPr>
          <w:color w:val="000000" w:themeColor="text1"/>
          <w:sz w:val="24"/>
          <w:szCs w:val="24"/>
        </w:rPr>
        <w:t>5.7.5</w:t>
      </w:r>
      <w:r>
        <w:rPr>
          <w:rFonts w:hint="eastAsia"/>
          <w:color w:val="000000" w:themeColor="text1"/>
          <w:sz w:val="24"/>
          <w:szCs w:val="24"/>
        </w:rPr>
        <w:t>事故处理应遵循“四不放过”原则：（</w:t>
      </w:r>
      <w:r>
        <w:rPr>
          <w:color w:val="000000" w:themeColor="text1"/>
          <w:sz w:val="24"/>
          <w:szCs w:val="24"/>
        </w:rPr>
        <w:t>1</w:t>
      </w:r>
      <w:r>
        <w:rPr>
          <w:rFonts w:hint="eastAsia"/>
          <w:color w:val="000000" w:themeColor="text1"/>
          <w:sz w:val="24"/>
          <w:szCs w:val="24"/>
        </w:rPr>
        <w:t>）事故原因没有查清不放过；（</w:t>
      </w:r>
      <w:r>
        <w:rPr>
          <w:color w:val="000000" w:themeColor="text1"/>
          <w:sz w:val="24"/>
          <w:szCs w:val="24"/>
        </w:rPr>
        <w:t>2</w:t>
      </w:r>
      <w:r>
        <w:rPr>
          <w:rFonts w:hint="eastAsia"/>
          <w:color w:val="000000" w:themeColor="text1"/>
          <w:sz w:val="24"/>
          <w:szCs w:val="24"/>
        </w:rPr>
        <w:t>）</w:t>
      </w:r>
      <w:r>
        <w:rPr>
          <w:rFonts w:ascii="Arial" w:hAnsi="Arial" w:cs="Arial" w:hint="eastAsia"/>
          <w:color w:val="000000" w:themeColor="text1"/>
          <w:sz w:val="24"/>
          <w:szCs w:val="24"/>
          <w:shd w:val="clear" w:color="auto" w:fill="FFFFFF"/>
        </w:rPr>
        <w:t>责任人员未处理不放过</w:t>
      </w:r>
      <w:r>
        <w:rPr>
          <w:rFonts w:hint="eastAsia"/>
          <w:color w:val="000000" w:themeColor="text1"/>
          <w:sz w:val="24"/>
          <w:szCs w:val="24"/>
        </w:rPr>
        <w:t>；（</w:t>
      </w:r>
      <w:r>
        <w:rPr>
          <w:color w:val="000000" w:themeColor="text1"/>
          <w:sz w:val="24"/>
          <w:szCs w:val="24"/>
        </w:rPr>
        <w:t>3</w:t>
      </w:r>
      <w:r>
        <w:rPr>
          <w:rFonts w:hint="eastAsia"/>
          <w:color w:val="000000" w:themeColor="text1"/>
          <w:sz w:val="24"/>
          <w:szCs w:val="24"/>
        </w:rPr>
        <w:t>）</w:t>
      </w:r>
      <w:r>
        <w:rPr>
          <w:rFonts w:ascii="Arial" w:hAnsi="Arial" w:cs="Arial" w:hint="eastAsia"/>
          <w:color w:val="000000" w:themeColor="text1"/>
          <w:sz w:val="24"/>
          <w:szCs w:val="24"/>
          <w:shd w:val="clear" w:color="auto" w:fill="FFFFFF"/>
        </w:rPr>
        <w:t>整改措施未落实不放过；（</w:t>
      </w:r>
      <w:r>
        <w:rPr>
          <w:rFonts w:ascii="Arial" w:hAnsi="Arial" w:cs="Arial"/>
          <w:color w:val="000000" w:themeColor="text1"/>
          <w:sz w:val="24"/>
          <w:szCs w:val="24"/>
          <w:shd w:val="clear" w:color="auto" w:fill="FFFFFF"/>
        </w:rPr>
        <w:t>4</w:t>
      </w:r>
      <w:r>
        <w:rPr>
          <w:rFonts w:ascii="Arial" w:hAnsi="Arial" w:cs="Arial" w:hint="eastAsia"/>
          <w:color w:val="000000" w:themeColor="text1"/>
          <w:sz w:val="24"/>
          <w:szCs w:val="24"/>
          <w:shd w:val="clear" w:color="auto" w:fill="FFFFFF"/>
        </w:rPr>
        <w:t>）有关人员未受到教育不放过</w:t>
      </w:r>
      <w:r>
        <w:rPr>
          <w:rFonts w:hint="eastAsia"/>
          <w:color w:val="000000" w:themeColor="text1"/>
          <w:sz w:val="24"/>
          <w:szCs w:val="24"/>
        </w:rPr>
        <w:t>。</w:t>
      </w:r>
    </w:p>
    <w:p w14:paraId="3D589957" w14:textId="77777777" w:rsidR="000E7C14" w:rsidRDefault="00000000">
      <w:pPr>
        <w:spacing w:line="360" w:lineRule="auto"/>
        <w:rPr>
          <w:color w:val="000000" w:themeColor="text1"/>
          <w:sz w:val="24"/>
          <w:szCs w:val="24"/>
        </w:rPr>
      </w:pPr>
      <w:r>
        <w:rPr>
          <w:color w:val="000000" w:themeColor="text1"/>
          <w:sz w:val="24"/>
          <w:szCs w:val="24"/>
        </w:rPr>
        <w:t>5.7.6</w:t>
      </w:r>
      <w:r>
        <w:rPr>
          <w:rFonts w:hint="eastAsia"/>
          <w:color w:val="000000" w:themeColor="text1"/>
          <w:sz w:val="24"/>
          <w:szCs w:val="24"/>
        </w:rPr>
        <w:t>事故处理结束，由事故处理小组负责收集、汇总各类相关材料，编制完整的事故报告，建立安全事故档案。有关材料按规定形成归档材料移交校档案室。</w:t>
      </w:r>
    </w:p>
    <w:p w14:paraId="0AFF614C" w14:textId="77777777" w:rsidR="000E7C14" w:rsidRDefault="00000000">
      <w:pPr>
        <w:spacing w:line="360" w:lineRule="auto"/>
        <w:rPr>
          <w:color w:val="000000" w:themeColor="text1"/>
          <w:sz w:val="24"/>
          <w:szCs w:val="24"/>
        </w:rPr>
      </w:pPr>
      <w:r>
        <w:rPr>
          <w:color w:val="000000" w:themeColor="text1"/>
          <w:sz w:val="24"/>
          <w:szCs w:val="24"/>
        </w:rPr>
        <w:lastRenderedPageBreak/>
        <w:t>5.8</w:t>
      </w:r>
      <w:r>
        <w:rPr>
          <w:rFonts w:hint="eastAsia"/>
          <w:color w:val="000000" w:themeColor="text1"/>
          <w:sz w:val="24"/>
          <w:szCs w:val="24"/>
        </w:rPr>
        <w:t>奖励与处罚</w:t>
      </w:r>
    </w:p>
    <w:p w14:paraId="0244470D" w14:textId="77777777" w:rsidR="000E7C14" w:rsidRDefault="00000000">
      <w:pPr>
        <w:spacing w:line="360" w:lineRule="auto"/>
        <w:rPr>
          <w:color w:val="000000" w:themeColor="text1"/>
          <w:sz w:val="24"/>
          <w:szCs w:val="24"/>
        </w:rPr>
      </w:pPr>
      <w:r>
        <w:rPr>
          <w:color w:val="000000" w:themeColor="text1"/>
          <w:sz w:val="24"/>
          <w:szCs w:val="24"/>
        </w:rPr>
        <w:t>5.8.1</w:t>
      </w:r>
      <w:r>
        <w:rPr>
          <w:rFonts w:hint="eastAsia"/>
          <w:color w:val="000000" w:themeColor="text1"/>
          <w:sz w:val="24"/>
          <w:szCs w:val="24"/>
        </w:rPr>
        <w:t>奖励</w:t>
      </w:r>
    </w:p>
    <w:p w14:paraId="1066782C" w14:textId="77777777" w:rsidR="000E7C14" w:rsidRDefault="00000000">
      <w:pPr>
        <w:spacing w:line="360" w:lineRule="auto"/>
        <w:ind w:firstLineChars="236" w:firstLine="566"/>
        <w:rPr>
          <w:color w:val="000000" w:themeColor="text1"/>
          <w:sz w:val="24"/>
          <w:szCs w:val="24"/>
        </w:rPr>
      </w:pPr>
      <w:r>
        <w:rPr>
          <w:rFonts w:hint="eastAsia"/>
          <w:color w:val="000000" w:themeColor="text1"/>
          <w:sz w:val="24"/>
          <w:szCs w:val="24"/>
        </w:rPr>
        <w:t>在教学、实验、科研中，对安全管理和劳动防护工作做出显著成绩的单位和个人，学校给予表彰和奖励：</w:t>
      </w:r>
    </w:p>
    <w:p w14:paraId="461CD72D" w14:textId="77777777" w:rsidR="000E7C14" w:rsidRDefault="00000000">
      <w:pPr>
        <w:spacing w:line="360" w:lineRule="auto"/>
        <w:rPr>
          <w:color w:val="000000" w:themeColor="text1"/>
          <w:sz w:val="24"/>
          <w:szCs w:val="24"/>
        </w:rPr>
      </w:pPr>
      <w:r>
        <w:rPr>
          <w:color w:val="000000" w:themeColor="text1"/>
          <w:sz w:val="24"/>
          <w:szCs w:val="24"/>
        </w:rPr>
        <w:t>5.8.1.1</w:t>
      </w:r>
      <w:r>
        <w:rPr>
          <w:rFonts w:hint="eastAsia"/>
          <w:color w:val="000000" w:themeColor="text1"/>
          <w:sz w:val="24"/>
          <w:szCs w:val="24"/>
        </w:rPr>
        <w:t>及时发现并排除重大事故隐患，避免伤亡事故发生或使学校财产免遭重大损失者；</w:t>
      </w:r>
    </w:p>
    <w:p w14:paraId="5B77A3C0" w14:textId="77777777" w:rsidR="000E7C14" w:rsidRDefault="00000000">
      <w:pPr>
        <w:spacing w:line="360" w:lineRule="auto"/>
        <w:rPr>
          <w:color w:val="000000" w:themeColor="text1"/>
          <w:sz w:val="24"/>
          <w:szCs w:val="24"/>
        </w:rPr>
      </w:pPr>
      <w:r>
        <w:rPr>
          <w:color w:val="000000" w:themeColor="text1"/>
          <w:sz w:val="24"/>
          <w:szCs w:val="24"/>
        </w:rPr>
        <w:t>5.8.1.2</w:t>
      </w:r>
      <w:r>
        <w:rPr>
          <w:rFonts w:hint="eastAsia"/>
          <w:color w:val="000000" w:themeColor="text1"/>
          <w:sz w:val="24"/>
          <w:szCs w:val="24"/>
        </w:rPr>
        <w:t>积极改善实验条件，保证师生安全健康，做出显著成绩者；</w:t>
      </w:r>
    </w:p>
    <w:p w14:paraId="17D1E4C1" w14:textId="77777777" w:rsidR="000E7C14" w:rsidRDefault="00000000">
      <w:pPr>
        <w:spacing w:line="360" w:lineRule="auto"/>
        <w:rPr>
          <w:color w:val="000000" w:themeColor="text1"/>
          <w:sz w:val="24"/>
          <w:szCs w:val="24"/>
        </w:rPr>
      </w:pPr>
      <w:r>
        <w:rPr>
          <w:color w:val="000000" w:themeColor="text1"/>
          <w:sz w:val="24"/>
          <w:szCs w:val="24"/>
        </w:rPr>
        <w:t>5.8.1.3</w:t>
      </w:r>
      <w:r>
        <w:rPr>
          <w:rFonts w:hint="eastAsia"/>
          <w:color w:val="000000" w:themeColor="text1"/>
          <w:sz w:val="24"/>
          <w:szCs w:val="24"/>
        </w:rPr>
        <w:t>在安全管理和劳动防护方面，有改造、有发明或提出合理化建议被认可者；</w:t>
      </w:r>
    </w:p>
    <w:p w14:paraId="6A417815" w14:textId="77777777" w:rsidR="000E7C14" w:rsidRDefault="00000000">
      <w:pPr>
        <w:spacing w:line="360" w:lineRule="auto"/>
        <w:rPr>
          <w:color w:val="000000" w:themeColor="text1"/>
          <w:sz w:val="24"/>
          <w:szCs w:val="24"/>
        </w:rPr>
      </w:pPr>
      <w:r>
        <w:rPr>
          <w:color w:val="000000" w:themeColor="text1"/>
          <w:sz w:val="24"/>
          <w:szCs w:val="24"/>
        </w:rPr>
        <w:t>5.8.1.4</w:t>
      </w:r>
      <w:r>
        <w:rPr>
          <w:rFonts w:hint="eastAsia"/>
          <w:color w:val="000000" w:themeColor="text1"/>
          <w:sz w:val="24"/>
          <w:szCs w:val="24"/>
        </w:rPr>
        <w:t>在安全管理工作中，坚持原则成绩显著者。</w:t>
      </w:r>
    </w:p>
    <w:p w14:paraId="6CA8B1C4" w14:textId="77777777" w:rsidR="000E7C14" w:rsidRDefault="00000000">
      <w:pPr>
        <w:spacing w:line="360" w:lineRule="auto"/>
        <w:rPr>
          <w:color w:val="000000" w:themeColor="text1"/>
          <w:sz w:val="24"/>
          <w:szCs w:val="24"/>
        </w:rPr>
      </w:pPr>
      <w:r>
        <w:rPr>
          <w:color w:val="000000" w:themeColor="text1"/>
          <w:sz w:val="24"/>
          <w:szCs w:val="24"/>
        </w:rPr>
        <w:t>5.8.2</w:t>
      </w:r>
      <w:r>
        <w:rPr>
          <w:rFonts w:hint="eastAsia"/>
          <w:color w:val="000000" w:themeColor="text1"/>
          <w:sz w:val="24"/>
          <w:szCs w:val="24"/>
        </w:rPr>
        <w:t>处罚</w:t>
      </w:r>
    </w:p>
    <w:p w14:paraId="1EB89AE0" w14:textId="77777777" w:rsidR="000E7C14" w:rsidRDefault="00000000">
      <w:pPr>
        <w:spacing w:line="360" w:lineRule="auto"/>
        <w:rPr>
          <w:color w:val="000000" w:themeColor="text1"/>
          <w:sz w:val="24"/>
          <w:szCs w:val="24"/>
        </w:rPr>
      </w:pPr>
      <w:r>
        <w:rPr>
          <w:rFonts w:hint="eastAsia"/>
          <w:color w:val="000000" w:themeColor="text1"/>
          <w:sz w:val="24"/>
          <w:szCs w:val="24"/>
        </w:rPr>
        <w:t>有下列情况之一的给予经济处罚：</w:t>
      </w:r>
    </w:p>
    <w:p w14:paraId="2B1A41CB" w14:textId="77777777" w:rsidR="000E7C14" w:rsidRDefault="00000000">
      <w:pPr>
        <w:spacing w:line="360" w:lineRule="auto"/>
        <w:rPr>
          <w:color w:val="000000" w:themeColor="text1"/>
          <w:sz w:val="24"/>
          <w:szCs w:val="24"/>
        </w:rPr>
      </w:pPr>
      <w:r>
        <w:rPr>
          <w:color w:val="000000" w:themeColor="text1"/>
          <w:sz w:val="24"/>
          <w:szCs w:val="24"/>
        </w:rPr>
        <w:t>5.8.2.1</w:t>
      </w:r>
      <w:r>
        <w:rPr>
          <w:rFonts w:hint="eastAsia"/>
          <w:color w:val="000000" w:themeColor="text1"/>
          <w:sz w:val="24"/>
          <w:szCs w:val="24"/>
        </w:rPr>
        <w:t>违章指挥，违章作业，冒险蛮干；</w:t>
      </w:r>
    </w:p>
    <w:p w14:paraId="295AC7FD" w14:textId="77777777" w:rsidR="000E7C14" w:rsidRDefault="00000000">
      <w:pPr>
        <w:spacing w:line="360" w:lineRule="auto"/>
        <w:rPr>
          <w:color w:val="000000" w:themeColor="text1"/>
          <w:sz w:val="24"/>
          <w:szCs w:val="24"/>
        </w:rPr>
      </w:pPr>
      <w:r>
        <w:rPr>
          <w:color w:val="000000" w:themeColor="text1"/>
          <w:sz w:val="24"/>
          <w:szCs w:val="24"/>
        </w:rPr>
        <w:t>5.8.2.2</w:t>
      </w:r>
      <w:r>
        <w:rPr>
          <w:rFonts w:hint="eastAsia"/>
          <w:color w:val="000000" w:themeColor="text1"/>
          <w:sz w:val="24"/>
          <w:szCs w:val="24"/>
        </w:rPr>
        <w:t>无操作规程，无章可循，经检查后仍不制定；</w:t>
      </w:r>
    </w:p>
    <w:p w14:paraId="1AB6F414" w14:textId="77777777" w:rsidR="000E7C14" w:rsidRDefault="00000000">
      <w:pPr>
        <w:spacing w:line="360" w:lineRule="auto"/>
        <w:rPr>
          <w:color w:val="000000" w:themeColor="text1"/>
          <w:sz w:val="24"/>
          <w:szCs w:val="24"/>
        </w:rPr>
      </w:pPr>
      <w:r>
        <w:rPr>
          <w:color w:val="000000" w:themeColor="text1"/>
          <w:sz w:val="24"/>
          <w:szCs w:val="24"/>
        </w:rPr>
        <w:t>5.8.2.3</w:t>
      </w:r>
      <w:r>
        <w:rPr>
          <w:rFonts w:hint="eastAsia"/>
          <w:color w:val="000000" w:themeColor="text1"/>
          <w:sz w:val="24"/>
          <w:szCs w:val="24"/>
        </w:rPr>
        <w:t>不按规定穿戴劳动防护用品、用具或违反其它劳动纪律的；</w:t>
      </w:r>
    </w:p>
    <w:p w14:paraId="77BE5B75" w14:textId="77777777" w:rsidR="000E7C14" w:rsidRDefault="00000000">
      <w:pPr>
        <w:spacing w:line="360" w:lineRule="auto"/>
        <w:rPr>
          <w:color w:val="000000" w:themeColor="text1"/>
          <w:sz w:val="24"/>
          <w:szCs w:val="24"/>
        </w:rPr>
      </w:pPr>
      <w:r>
        <w:rPr>
          <w:color w:val="000000" w:themeColor="text1"/>
          <w:sz w:val="24"/>
          <w:szCs w:val="24"/>
        </w:rPr>
        <w:t>5.8.2.4</w:t>
      </w:r>
      <w:r>
        <w:rPr>
          <w:rFonts w:hint="eastAsia"/>
          <w:color w:val="000000" w:themeColor="text1"/>
          <w:sz w:val="24"/>
          <w:szCs w:val="24"/>
        </w:rPr>
        <w:t>无特殊工种操作证进行操作的；</w:t>
      </w:r>
    </w:p>
    <w:p w14:paraId="5CC7A08C" w14:textId="77777777" w:rsidR="000E7C14" w:rsidRDefault="00000000">
      <w:pPr>
        <w:spacing w:line="360" w:lineRule="auto"/>
        <w:rPr>
          <w:color w:val="000000" w:themeColor="text1"/>
          <w:sz w:val="24"/>
          <w:szCs w:val="24"/>
        </w:rPr>
      </w:pPr>
      <w:r>
        <w:rPr>
          <w:color w:val="000000" w:themeColor="text1"/>
          <w:sz w:val="24"/>
          <w:szCs w:val="24"/>
        </w:rPr>
        <w:t>5.8.2.5</w:t>
      </w:r>
      <w:r>
        <w:rPr>
          <w:rFonts w:hint="eastAsia"/>
          <w:color w:val="000000" w:themeColor="text1"/>
          <w:sz w:val="24"/>
          <w:szCs w:val="24"/>
        </w:rPr>
        <w:t>发生事故隐瞒不报，虚报或故意拖延的；</w:t>
      </w:r>
    </w:p>
    <w:p w14:paraId="7166FD3D" w14:textId="77777777" w:rsidR="000E7C14" w:rsidRDefault="00000000">
      <w:pPr>
        <w:spacing w:line="360" w:lineRule="auto"/>
        <w:rPr>
          <w:color w:val="000000" w:themeColor="text1"/>
          <w:sz w:val="24"/>
          <w:szCs w:val="24"/>
        </w:rPr>
      </w:pPr>
      <w:r>
        <w:rPr>
          <w:color w:val="000000" w:themeColor="text1"/>
          <w:sz w:val="24"/>
          <w:szCs w:val="24"/>
        </w:rPr>
        <w:t>5.8.2.6</w:t>
      </w:r>
      <w:r>
        <w:rPr>
          <w:rFonts w:hint="eastAsia"/>
          <w:color w:val="000000" w:themeColor="text1"/>
          <w:sz w:val="24"/>
          <w:szCs w:val="24"/>
        </w:rPr>
        <w:t>事故调查中，伪造现场，隐瞒事实，毁灭证据，嫁祸于人。</w:t>
      </w:r>
    </w:p>
    <w:p w14:paraId="382E59D1" w14:textId="77777777" w:rsidR="000E7C14" w:rsidRDefault="000E7C14">
      <w:pPr>
        <w:spacing w:line="360" w:lineRule="auto"/>
        <w:rPr>
          <w:rFonts w:asciiTheme="minorEastAsia" w:hAnsiTheme="minorEastAsia" w:hint="eastAsia"/>
          <w:sz w:val="24"/>
          <w:szCs w:val="24"/>
        </w:rPr>
      </w:pPr>
    </w:p>
    <w:p w14:paraId="6538814A" w14:textId="77777777" w:rsidR="000E7C14" w:rsidRDefault="00000000">
      <w:pPr>
        <w:spacing w:line="360" w:lineRule="auto"/>
        <w:rPr>
          <w:b/>
          <w:sz w:val="24"/>
          <w:szCs w:val="24"/>
        </w:rPr>
      </w:pPr>
      <w:r>
        <w:rPr>
          <w:rFonts w:hint="eastAsia"/>
          <w:b/>
          <w:sz w:val="24"/>
          <w:szCs w:val="24"/>
        </w:rPr>
        <w:t>6</w:t>
      </w:r>
      <w:r>
        <w:rPr>
          <w:rFonts w:hint="eastAsia"/>
          <w:b/>
          <w:sz w:val="24"/>
          <w:szCs w:val="24"/>
        </w:rPr>
        <w:t>．相关文件</w:t>
      </w:r>
    </w:p>
    <w:tbl>
      <w:tblPr>
        <w:tblStyle w:val="aa"/>
        <w:tblW w:w="99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46"/>
        <w:gridCol w:w="2545"/>
      </w:tblGrid>
      <w:tr w:rsidR="000E7C14" w14:paraId="1C6F4FED" w14:textId="77777777">
        <w:tc>
          <w:tcPr>
            <w:tcW w:w="7446" w:type="dxa"/>
            <w:tcMar>
              <w:left w:w="0" w:type="dxa"/>
            </w:tcMar>
          </w:tcPr>
          <w:p w14:paraId="7971C6BA" w14:textId="77777777" w:rsidR="000E7C14" w:rsidRDefault="00000000">
            <w:pPr>
              <w:spacing w:line="360" w:lineRule="auto"/>
              <w:rPr>
                <w:rFonts w:asciiTheme="minorEastAsia" w:hAnsiTheme="minorEastAsia" w:hint="eastAsia"/>
                <w:sz w:val="24"/>
                <w:szCs w:val="24"/>
              </w:rPr>
            </w:pPr>
            <w:r>
              <w:rPr>
                <w:color w:val="000000" w:themeColor="text1"/>
                <w:sz w:val="24"/>
                <w:szCs w:val="24"/>
              </w:rPr>
              <w:t>6.1</w:t>
            </w:r>
            <w:r>
              <w:rPr>
                <w:rFonts w:hint="eastAsia"/>
                <w:color w:val="000000" w:themeColor="text1"/>
                <w:sz w:val="24"/>
                <w:szCs w:val="24"/>
              </w:rPr>
              <w:t>校园安全生产管理办法</w:t>
            </w:r>
          </w:p>
        </w:tc>
        <w:tc>
          <w:tcPr>
            <w:tcW w:w="2545" w:type="dxa"/>
            <w:tcMar>
              <w:left w:w="0" w:type="dxa"/>
            </w:tcMar>
            <w:vAlign w:val="bottom"/>
          </w:tcPr>
          <w:p w14:paraId="1CE1C5D5" w14:textId="77777777" w:rsidR="000E7C14" w:rsidRDefault="00000000">
            <w:pPr>
              <w:spacing w:line="360" w:lineRule="auto"/>
              <w:jc w:val="right"/>
              <w:rPr>
                <w:rFonts w:asciiTheme="minorEastAsia" w:hAnsiTheme="minorEastAsia" w:hint="eastAsia"/>
                <w:sz w:val="24"/>
                <w:szCs w:val="24"/>
              </w:rPr>
            </w:pPr>
            <w:r>
              <w:rPr>
                <w:rFonts w:hint="eastAsia"/>
                <w:color w:val="000000" w:themeColor="text1"/>
                <w:sz w:val="24"/>
                <w:szCs w:val="24"/>
              </w:rPr>
              <w:t>SJQU-WI-HB-502</w:t>
            </w:r>
          </w:p>
        </w:tc>
      </w:tr>
      <w:tr w:rsidR="000E7C14" w14:paraId="0D0FE6CA" w14:textId="77777777">
        <w:tc>
          <w:tcPr>
            <w:tcW w:w="7446" w:type="dxa"/>
            <w:tcMar>
              <w:left w:w="0" w:type="dxa"/>
            </w:tcMar>
          </w:tcPr>
          <w:p w14:paraId="3D7DC410" w14:textId="77777777" w:rsidR="000E7C14" w:rsidRDefault="00000000">
            <w:pPr>
              <w:spacing w:line="360" w:lineRule="auto"/>
              <w:rPr>
                <w:color w:val="000000" w:themeColor="text1"/>
                <w:sz w:val="24"/>
                <w:szCs w:val="24"/>
              </w:rPr>
            </w:pPr>
            <w:r>
              <w:rPr>
                <w:color w:val="000000" w:themeColor="text1"/>
                <w:sz w:val="24"/>
                <w:szCs w:val="24"/>
              </w:rPr>
              <w:t>6.2</w:t>
            </w:r>
            <w:r>
              <w:rPr>
                <w:rFonts w:hint="eastAsia"/>
                <w:color w:val="000000" w:themeColor="text1"/>
                <w:sz w:val="24"/>
                <w:szCs w:val="24"/>
              </w:rPr>
              <w:t>危险化学品管理办法</w:t>
            </w:r>
          </w:p>
        </w:tc>
        <w:tc>
          <w:tcPr>
            <w:tcW w:w="2545" w:type="dxa"/>
            <w:tcMar>
              <w:left w:w="0" w:type="dxa"/>
            </w:tcMar>
            <w:vAlign w:val="bottom"/>
          </w:tcPr>
          <w:p w14:paraId="1CD75CCD" w14:textId="77777777" w:rsidR="000E7C14" w:rsidRDefault="00000000">
            <w:pPr>
              <w:spacing w:line="360" w:lineRule="auto"/>
              <w:jc w:val="right"/>
              <w:rPr>
                <w:color w:val="000000" w:themeColor="text1"/>
                <w:sz w:val="24"/>
                <w:szCs w:val="24"/>
              </w:rPr>
            </w:pPr>
            <w:r>
              <w:rPr>
                <w:rFonts w:hint="eastAsia"/>
                <w:color w:val="000000" w:themeColor="text1"/>
                <w:sz w:val="24"/>
                <w:szCs w:val="24"/>
              </w:rPr>
              <w:t>SJQU-WI-HB-577</w:t>
            </w:r>
          </w:p>
        </w:tc>
      </w:tr>
      <w:tr w:rsidR="000E7C14" w14:paraId="11F96495" w14:textId="77777777">
        <w:tc>
          <w:tcPr>
            <w:tcW w:w="7446" w:type="dxa"/>
          </w:tcPr>
          <w:p w14:paraId="6643A2E4" w14:textId="77777777" w:rsidR="000E7C14" w:rsidRDefault="00000000">
            <w:pPr>
              <w:spacing w:line="360" w:lineRule="auto"/>
              <w:rPr>
                <w:color w:val="000000" w:themeColor="text1"/>
                <w:sz w:val="24"/>
                <w:szCs w:val="24"/>
              </w:rPr>
            </w:pPr>
            <w:r>
              <w:rPr>
                <w:rFonts w:hint="eastAsia"/>
                <w:color w:val="000000" w:themeColor="text1"/>
                <w:sz w:val="24"/>
                <w:szCs w:val="24"/>
              </w:rPr>
              <w:t>6.3</w:t>
            </w:r>
            <w:r>
              <w:rPr>
                <w:rFonts w:hint="eastAsia"/>
                <w:color w:val="000000" w:themeColor="text1"/>
                <w:sz w:val="24"/>
                <w:szCs w:val="24"/>
              </w:rPr>
              <w:t>国务院《危险化学品安全管理条例》（国家第</w:t>
            </w:r>
            <w:r>
              <w:rPr>
                <w:rFonts w:hint="eastAsia"/>
                <w:color w:val="000000" w:themeColor="text1"/>
                <w:sz w:val="24"/>
                <w:szCs w:val="24"/>
              </w:rPr>
              <w:t>591</w:t>
            </w:r>
            <w:r>
              <w:rPr>
                <w:rFonts w:hint="eastAsia"/>
                <w:color w:val="000000" w:themeColor="text1"/>
                <w:sz w:val="24"/>
                <w:szCs w:val="24"/>
              </w:rPr>
              <w:t>号令）</w:t>
            </w:r>
          </w:p>
        </w:tc>
        <w:tc>
          <w:tcPr>
            <w:tcW w:w="2545" w:type="dxa"/>
          </w:tcPr>
          <w:p w14:paraId="4BCCFC57" w14:textId="77777777" w:rsidR="000E7C14" w:rsidRDefault="00000000">
            <w:pPr>
              <w:spacing w:line="360" w:lineRule="auto"/>
              <w:jc w:val="right"/>
              <w:rPr>
                <w:color w:val="000000" w:themeColor="text1"/>
                <w:sz w:val="24"/>
                <w:szCs w:val="24"/>
              </w:rPr>
            </w:pPr>
            <w:r>
              <w:rPr>
                <w:rFonts w:hint="eastAsia"/>
                <w:color w:val="000000" w:themeColor="text1"/>
                <w:sz w:val="24"/>
                <w:szCs w:val="24"/>
              </w:rPr>
              <w:t>ED2022111002</w:t>
            </w:r>
          </w:p>
        </w:tc>
      </w:tr>
      <w:tr w:rsidR="000E7C14" w14:paraId="63DA0B6C" w14:textId="77777777">
        <w:tc>
          <w:tcPr>
            <w:tcW w:w="7446" w:type="dxa"/>
          </w:tcPr>
          <w:p w14:paraId="27946CD7" w14:textId="77777777" w:rsidR="000E7C14" w:rsidRDefault="00000000">
            <w:pPr>
              <w:spacing w:line="360" w:lineRule="auto"/>
              <w:rPr>
                <w:color w:val="000000" w:themeColor="text1"/>
                <w:sz w:val="24"/>
                <w:szCs w:val="24"/>
              </w:rPr>
            </w:pPr>
            <w:r>
              <w:rPr>
                <w:rFonts w:hint="eastAsia"/>
                <w:color w:val="000000" w:themeColor="text1"/>
                <w:sz w:val="24"/>
                <w:szCs w:val="24"/>
              </w:rPr>
              <w:t>6.4</w:t>
            </w:r>
            <w:r>
              <w:rPr>
                <w:rFonts w:hint="eastAsia"/>
                <w:color w:val="000000" w:themeColor="text1"/>
                <w:sz w:val="24"/>
                <w:szCs w:val="24"/>
              </w:rPr>
              <w:t>教育部《高等学校实验室安全规范》（教科</w:t>
            </w:r>
            <w:proofErr w:type="gramStart"/>
            <w:r>
              <w:rPr>
                <w:rFonts w:hint="eastAsia"/>
                <w:color w:val="000000" w:themeColor="text1"/>
                <w:sz w:val="24"/>
                <w:szCs w:val="24"/>
              </w:rPr>
              <w:t>信厅函</w:t>
            </w:r>
            <w:proofErr w:type="gramEnd"/>
            <w:r>
              <w:rPr>
                <w:rFonts w:hint="eastAsia"/>
                <w:color w:val="000000" w:themeColor="text1"/>
                <w:sz w:val="24"/>
                <w:szCs w:val="24"/>
              </w:rPr>
              <w:t>〔</w:t>
            </w:r>
            <w:r>
              <w:rPr>
                <w:rFonts w:hint="eastAsia"/>
                <w:color w:val="000000" w:themeColor="text1"/>
                <w:sz w:val="24"/>
                <w:szCs w:val="24"/>
              </w:rPr>
              <w:t>2023</w:t>
            </w:r>
            <w:r>
              <w:rPr>
                <w:rFonts w:hint="eastAsia"/>
                <w:color w:val="000000" w:themeColor="text1"/>
                <w:sz w:val="24"/>
                <w:szCs w:val="24"/>
              </w:rPr>
              <w:t>〕</w:t>
            </w:r>
            <w:r>
              <w:rPr>
                <w:rFonts w:hint="eastAsia"/>
                <w:color w:val="000000" w:themeColor="text1"/>
                <w:sz w:val="24"/>
                <w:szCs w:val="24"/>
              </w:rPr>
              <w:t>5</w:t>
            </w:r>
            <w:r>
              <w:rPr>
                <w:rFonts w:hint="eastAsia"/>
                <w:color w:val="000000" w:themeColor="text1"/>
                <w:sz w:val="24"/>
                <w:szCs w:val="24"/>
              </w:rPr>
              <w:t>号）</w:t>
            </w:r>
          </w:p>
        </w:tc>
        <w:tc>
          <w:tcPr>
            <w:tcW w:w="2545" w:type="dxa"/>
          </w:tcPr>
          <w:p w14:paraId="04203D3D" w14:textId="77777777" w:rsidR="000E7C14" w:rsidRDefault="00000000">
            <w:pPr>
              <w:spacing w:line="360" w:lineRule="auto"/>
              <w:jc w:val="right"/>
              <w:rPr>
                <w:color w:val="000000" w:themeColor="text1"/>
                <w:sz w:val="24"/>
                <w:szCs w:val="24"/>
              </w:rPr>
            </w:pPr>
            <w:r>
              <w:rPr>
                <w:rFonts w:hint="eastAsia"/>
                <w:color w:val="000000" w:themeColor="text1"/>
                <w:sz w:val="24"/>
                <w:szCs w:val="24"/>
              </w:rPr>
              <w:t>ED2023020801</w:t>
            </w:r>
          </w:p>
        </w:tc>
      </w:tr>
      <w:tr w:rsidR="000E7C14" w14:paraId="1F34B3FC" w14:textId="77777777">
        <w:tc>
          <w:tcPr>
            <w:tcW w:w="7446" w:type="dxa"/>
          </w:tcPr>
          <w:p w14:paraId="3EF52C44" w14:textId="77777777" w:rsidR="000E7C14" w:rsidRDefault="00000000">
            <w:pPr>
              <w:spacing w:line="360" w:lineRule="auto"/>
              <w:rPr>
                <w:color w:val="000000" w:themeColor="text1"/>
                <w:sz w:val="24"/>
                <w:szCs w:val="24"/>
              </w:rPr>
            </w:pPr>
            <w:r>
              <w:rPr>
                <w:rFonts w:hint="eastAsia"/>
                <w:color w:val="000000" w:themeColor="text1"/>
                <w:sz w:val="24"/>
                <w:szCs w:val="24"/>
              </w:rPr>
              <w:t>6.5</w:t>
            </w:r>
            <w:r>
              <w:rPr>
                <w:rFonts w:hint="eastAsia"/>
                <w:color w:val="000000" w:themeColor="text1"/>
                <w:sz w:val="24"/>
                <w:szCs w:val="24"/>
              </w:rPr>
              <w:t>《高等学校实验室安全分级分类管理办法（试行）》（教科信〔</w:t>
            </w:r>
            <w:r>
              <w:rPr>
                <w:rFonts w:hint="eastAsia"/>
                <w:color w:val="000000" w:themeColor="text1"/>
                <w:sz w:val="24"/>
                <w:szCs w:val="24"/>
              </w:rPr>
              <w:t>2024</w:t>
            </w:r>
            <w:r>
              <w:rPr>
                <w:rFonts w:hint="eastAsia"/>
                <w:color w:val="000000" w:themeColor="text1"/>
                <w:sz w:val="24"/>
                <w:szCs w:val="24"/>
              </w:rPr>
              <w:t>〕</w:t>
            </w:r>
            <w:r>
              <w:rPr>
                <w:rFonts w:hint="eastAsia"/>
                <w:color w:val="000000" w:themeColor="text1"/>
                <w:sz w:val="24"/>
                <w:szCs w:val="24"/>
              </w:rPr>
              <w:t>4</w:t>
            </w:r>
            <w:r>
              <w:rPr>
                <w:rFonts w:hint="eastAsia"/>
                <w:color w:val="000000" w:themeColor="text1"/>
                <w:sz w:val="24"/>
                <w:szCs w:val="24"/>
              </w:rPr>
              <w:t>号）</w:t>
            </w:r>
          </w:p>
        </w:tc>
        <w:tc>
          <w:tcPr>
            <w:tcW w:w="2545" w:type="dxa"/>
          </w:tcPr>
          <w:p w14:paraId="5EAFF41C" w14:textId="77777777" w:rsidR="000E7C14" w:rsidRDefault="00000000">
            <w:pPr>
              <w:spacing w:line="360" w:lineRule="auto"/>
              <w:jc w:val="right"/>
              <w:rPr>
                <w:color w:val="000000" w:themeColor="text1"/>
                <w:sz w:val="24"/>
                <w:szCs w:val="24"/>
              </w:rPr>
            </w:pPr>
            <w:r>
              <w:rPr>
                <w:rFonts w:hint="eastAsia"/>
                <w:color w:val="000000" w:themeColor="text1"/>
                <w:sz w:val="24"/>
                <w:szCs w:val="24"/>
              </w:rPr>
              <w:t>ED2024032601</w:t>
            </w:r>
          </w:p>
        </w:tc>
      </w:tr>
      <w:tr w:rsidR="000E7C14" w14:paraId="461BE628" w14:textId="77777777">
        <w:tc>
          <w:tcPr>
            <w:tcW w:w="7446" w:type="dxa"/>
          </w:tcPr>
          <w:p w14:paraId="7655CCC7" w14:textId="5CEF6EC3" w:rsidR="000E7C14" w:rsidRDefault="000E7C14">
            <w:pPr>
              <w:spacing w:line="360" w:lineRule="auto"/>
              <w:ind w:firstLineChars="100" w:firstLine="240"/>
              <w:rPr>
                <w:color w:val="000000" w:themeColor="text1"/>
                <w:sz w:val="24"/>
                <w:szCs w:val="24"/>
              </w:rPr>
            </w:pPr>
          </w:p>
        </w:tc>
        <w:tc>
          <w:tcPr>
            <w:tcW w:w="2545" w:type="dxa"/>
          </w:tcPr>
          <w:p w14:paraId="549DD5B2" w14:textId="77777777" w:rsidR="000E7C14" w:rsidRDefault="000E7C14">
            <w:pPr>
              <w:spacing w:line="360" w:lineRule="auto"/>
              <w:jc w:val="right"/>
              <w:rPr>
                <w:color w:val="000000" w:themeColor="text1"/>
                <w:sz w:val="24"/>
                <w:szCs w:val="24"/>
              </w:rPr>
            </w:pPr>
          </w:p>
        </w:tc>
      </w:tr>
    </w:tbl>
    <w:p w14:paraId="7F7B507E" w14:textId="77777777" w:rsidR="000E7C14" w:rsidRDefault="00000000">
      <w:pPr>
        <w:spacing w:line="360" w:lineRule="auto"/>
        <w:rPr>
          <w:rFonts w:asciiTheme="minorEastAsia" w:hAnsiTheme="minorEastAsia" w:hint="eastAsia"/>
          <w:b/>
          <w:sz w:val="24"/>
          <w:szCs w:val="24"/>
        </w:rPr>
      </w:pPr>
      <w:r>
        <w:rPr>
          <w:rFonts w:asciiTheme="minorEastAsia" w:hAnsiTheme="minorEastAsia" w:hint="eastAsia"/>
          <w:b/>
          <w:sz w:val="24"/>
          <w:szCs w:val="24"/>
        </w:rPr>
        <w:t>7. 相关记录</w:t>
      </w:r>
    </w:p>
    <w:tbl>
      <w:tblPr>
        <w:tblStyle w:val="aa"/>
        <w:tblW w:w="999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46"/>
        <w:gridCol w:w="2545"/>
      </w:tblGrid>
      <w:tr w:rsidR="000E7C14" w14:paraId="26B21ABA" w14:textId="77777777">
        <w:tc>
          <w:tcPr>
            <w:tcW w:w="7446" w:type="dxa"/>
          </w:tcPr>
          <w:p w14:paraId="5648E235" w14:textId="77777777" w:rsidR="000E7C14" w:rsidRDefault="00000000">
            <w:pPr>
              <w:spacing w:line="360" w:lineRule="auto"/>
              <w:ind w:firstLineChars="100" w:firstLine="240"/>
              <w:rPr>
                <w:color w:val="000000" w:themeColor="text1"/>
                <w:sz w:val="24"/>
                <w:szCs w:val="24"/>
              </w:rPr>
            </w:pPr>
            <w:r>
              <w:rPr>
                <w:rFonts w:asciiTheme="minorEastAsia" w:hAnsiTheme="minorEastAsia" w:hint="eastAsia"/>
                <w:sz w:val="24"/>
                <w:szCs w:val="24"/>
              </w:rPr>
              <w:t>7.1实验室安全巡检记录</w:t>
            </w:r>
          </w:p>
        </w:tc>
        <w:tc>
          <w:tcPr>
            <w:tcW w:w="2545" w:type="dxa"/>
          </w:tcPr>
          <w:p w14:paraId="4FBE2FBC" w14:textId="77777777" w:rsidR="000E7C14" w:rsidRDefault="00000000">
            <w:pPr>
              <w:spacing w:line="360" w:lineRule="auto"/>
              <w:jc w:val="right"/>
              <w:rPr>
                <w:color w:val="000000" w:themeColor="text1"/>
                <w:sz w:val="24"/>
                <w:szCs w:val="24"/>
              </w:rPr>
            </w:pPr>
            <w:r>
              <w:rPr>
                <w:rFonts w:asciiTheme="minorEastAsia" w:hAnsiTheme="minorEastAsia"/>
                <w:sz w:val="24"/>
                <w:szCs w:val="24"/>
              </w:rPr>
              <w:t>SJQU-QR-JW-920</w:t>
            </w:r>
          </w:p>
        </w:tc>
      </w:tr>
      <w:tr w:rsidR="000E7C14" w14:paraId="291BC210" w14:textId="77777777">
        <w:tc>
          <w:tcPr>
            <w:tcW w:w="7446" w:type="dxa"/>
          </w:tcPr>
          <w:p w14:paraId="516F9623" w14:textId="77777777" w:rsidR="000E7C14" w:rsidRDefault="00000000">
            <w:pPr>
              <w:spacing w:line="360" w:lineRule="auto"/>
              <w:ind w:firstLineChars="100" w:firstLine="240"/>
              <w:rPr>
                <w:color w:val="000000" w:themeColor="text1"/>
                <w:sz w:val="24"/>
                <w:szCs w:val="24"/>
              </w:rPr>
            </w:pPr>
            <w:r>
              <w:rPr>
                <w:rFonts w:asciiTheme="minorEastAsia" w:hAnsiTheme="minorEastAsia" w:hint="eastAsia"/>
                <w:sz w:val="24"/>
                <w:szCs w:val="24"/>
              </w:rPr>
              <w:t>7.2实验室安全检查记录</w:t>
            </w:r>
          </w:p>
        </w:tc>
        <w:tc>
          <w:tcPr>
            <w:tcW w:w="2545" w:type="dxa"/>
          </w:tcPr>
          <w:p w14:paraId="3BE92ACE" w14:textId="77777777" w:rsidR="000E7C14" w:rsidRDefault="00000000">
            <w:pPr>
              <w:spacing w:line="360" w:lineRule="auto"/>
              <w:jc w:val="right"/>
              <w:rPr>
                <w:color w:val="000000" w:themeColor="text1"/>
                <w:sz w:val="24"/>
                <w:szCs w:val="24"/>
              </w:rPr>
            </w:pPr>
            <w:r>
              <w:rPr>
                <w:rFonts w:asciiTheme="minorEastAsia" w:hAnsiTheme="minorEastAsia"/>
                <w:sz w:val="24"/>
                <w:szCs w:val="24"/>
              </w:rPr>
              <w:t>SJQU-QR-JW-921</w:t>
            </w:r>
          </w:p>
        </w:tc>
      </w:tr>
    </w:tbl>
    <w:p w14:paraId="7F5C92B1" w14:textId="77777777" w:rsidR="000E7C14" w:rsidRDefault="000E7C14">
      <w:pPr>
        <w:spacing w:line="360" w:lineRule="auto"/>
        <w:rPr>
          <w:rFonts w:asciiTheme="minorEastAsia" w:hAnsiTheme="minorEastAsia" w:hint="eastAsia"/>
          <w:sz w:val="24"/>
          <w:szCs w:val="24"/>
        </w:rPr>
      </w:pPr>
    </w:p>
    <w:p w14:paraId="1CBDA3FC" w14:textId="77777777" w:rsidR="000E7C14" w:rsidRDefault="00000000">
      <w:pPr>
        <w:spacing w:line="360" w:lineRule="auto"/>
        <w:rPr>
          <w:rFonts w:asciiTheme="minorEastAsia" w:hAnsiTheme="minorEastAsia" w:hint="eastAsia"/>
          <w:b/>
          <w:sz w:val="24"/>
          <w:szCs w:val="24"/>
        </w:rPr>
      </w:pPr>
      <w:r>
        <w:rPr>
          <w:rFonts w:asciiTheme="minorEastAsia" w:hAnsiTheme="minorEastAsia" w:hint="eastAsia"/>
          <w:b/>
          <w:sz w:val="24"/>
          <w:szCs w:val="24"/>
        </w:rPr>
        <w:t>8. 附件</w:t>
      </w:r>
    </w:p>
    <w:p w14:paraId="3248C481" w14:textId="77777777" w:rsidR="000E7C14" w:rsidRDefault="00000000">
      <w:pPr>
        <w:spacing w:line="360" w:lineRule="auto"/>
        <w:rPr>
          <w:rFonts w:asciiTheme="minorEastAsia" w:hAnsiTheme="minorEastAsia" w:hint="eastAsia"/>
          <w:sz w:val="24"/>
          <w:szCs w:val="24"/>
        </w:rPr>
      </w:pPr>
      <w:r>
        <w:rPr>
          <w:rFonts w:asciiTheme="minorEastAsia" w:hAnsiTheme="minorEastAsia" w:hint="eastAsia"/>
          <w:sz w:val="24"/>
          <w:szCs w:val="24"/>
        </w:rPr>
        <w:t>无</w:t>
      </w:r>
      <w:r>
        <w:rPr>
          <w:rFonts w:asciiTheme="minorEastAsia" w:hAnsiTheme="minorEastAsia" w:hint="eastAsia"/>
          <w:sz w:val="24"/>
          <w:szCs w:val="24"/>
        </w:rPr>
        <w:tab/>
      </w:r>
    </w:p>
    <w:p w14:paraId="2DED4E8C" w14:textId="77777777" w:rsidR="000E7C14" w:rsidRDefault="000E7C14">
      <w:pPr>
        <w:spacing w:line="360" w:lineRule="auto"/>
        <w:rPr>
          <w:rFonts w:asciiTheme="minorEastAsia" w:hAnsiTheme="minorEastAsia" w:hint="eastAsia"/>
          <w:sz w:val="24"/>
          <w:szCs w:val="24"/>
        </w:rPr>
      </w:pPr>
    </w:p>
    <w:sectPr w:rsidR="000E7C14">
      <w:headerReference w:type="default" r:id="rId8"/>
      <w:footerReference w:type="default" r:id="rId9"/>
      <w:pgSz w:w="11906" w:h="16838"/>
      <w:pgMar w:top="2268" w:right="567" w:bottom="1134" w:left="1418" w:header="680"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DEADB" w14:textId="77777777" w:rsidR="00F07904" w:rsidRDefault="00F07904">
      <w:r>
        <w:separator/>
      </w:r>
    </w:p>
  </w:endnote>
  <w:endnote w:type="continuationSeparator" w:id="0">
    <w:p w14:paraId="07A6979D" w14:textId="77777777" w:rsidR="00F07904" w:rsidRDefault="00F07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338C" w14:textId="77777777" w:rsidR="000E7C14" w:rsidRDefault="00000000">
    <w:pPr>
      <w:pStyle w:val="a6"/>
      <w:jc w:val="center"/>
    </w:pPr>
    <w:r>
      <w:rPr>
        <w:rFonts w:hint="eastAsia"/>
        <w:noProof/>
      </w:rPr>
      <mc:AlternateContent>
        <mc:Choice Requires="wps">
          <w:drawing>
            <wp:anchor distT="0" distB="0" distL="114300" distR="114300" simplePos="0" relativeHeight="251657216" behindDoc="0" locked="0" layoutInCell="1" allowOverlap="1" wp14:anchorId="6625CE50" wp14:editId="5368D330">
              <wp:simplePos x="0" y="0"/>
              <wp:positionH relativeFrom="column">
                <wp:posOffset>-5715</wp:posOffset>
              </wp:positionH>
              <wp:positionV relativeFrom="paragraph">
                <wp:posOffset>-43180</wp:posOffset>
              </wp:positionV>
              <wp:extent cx="6305550" cy="0"/>
              <wp:effectExtent l="0" t="0" r="19050" b="19050"/>
              <wp:wrapNone/>
              <wp:docPr id="2" name="直接连接符 2"/>
              <wp:cNvGraphicFramePr/>
              <a:graphic xmlns:a="http://schemas.openxmlformats.org/drawingml/2006/main">
                <a:graphicData uri="http://schemas.microsoft.com/office/word/2010/wordprocessingShape">
                  <wps:wsp>
                    <wps:cNvCnPr/>
                    <wps:spPr>
                      <a:xfrm>
                        <a:off x="0" y="0"/>
                        <a:ext cx="63055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70E890" id="直接连接符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45pt,-3.4pt" to="496.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" strokecolor="black [3200]" strokeweight=".5pt">
              <v:stroke dashstyle="dash" joinstyle="miter"/>
            </v:line>
          </w:pict>
        </mc:Fallback>
      </mc:AlternateContent>
    </w:r>
    <w:r>
      <w:rPr>
        <w:rFonts w:hint="eastAsia"/>
      </w:rPr>
      <w:t xml:space="preserve">This document is the exclusive property of our university and shall not be reproduced or copied or transformed to any other format without prior permission of our university.   </w:t>
    </w:r>
    <w:r>
      <w:rPr>
        <w:rFonts w:hint="eastAsia"/>
      </w:rPr>
      <w:t>本文件为学校专有财产，未经许可，不得复制、翻译或转变成其他形式使用。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3A80F" w14:textId="77777777" w:rsidR="00F07904" w:rsidRDefault="00F07904">
      <w:r>
        <w:separator/>
      </w:r>
    </w:p>
  </w:footnote>
  <w:footnote w:type="continuationSeparator" w:id="0">
    <w:p w14:paraId="2ABBECE9" w14:textId="77777777" w:rsidR="00F07904" w:rsidRDefault="00F07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9911"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276"/>
      <w:gridCol w:w="4673"/>
      <w:gridCol w:w="990"/>
      <w:gridCol w:w="999"/>
      <w:gridCol w:w="982"/>
      <w:gridCol w:w="991"/>
    </w:tblGrid>
    <w:tr w:rsidR="000E7C14" w14:paraId="58E9B88F" w14:textId="77777777">
      <w:trPr>
        <w:trHeight w:val="462"/>
      </w:trPr>
      <w:tc>
        <w:tcPr>
          <w:tcW w:w="5949" w:type="dxa"/>
          <w:gridSpan w:val="2"/>
          <w:vMerge w:val="restart"/>
          <w:vAlign w:val="center"/>
        </w:tcPr>
        <w:p w14:paraId="643216E7" w14:textId="77777777" w:rsidR="000E7C14" w:rsidRDefault="00000000">
          <w:pPr>
            <w:pStyle w:val="a8"/>
            <w:pBdr>
              <w:bottom w:val="none" w:sz="0" w:space="0" w:color="auto"/>
            </w:pBdr>
            <w:jc w:val="left"/>
            <w:rPr>
              <w:sz w:val="21"/>
              <w:szCs w:val="21"/>
            </w:rPr>
          </w:pPr>
          <w:r>
            <w:rPr>
              <w:noProof/>
              <w:sz w:val="21"/>
              <w:szCs w:val="21"/>
            </w:rPr>
            <mc:AlternateContent>
              <mc:Choice Requires="wps">
                <w:drawing>
                  <wp:anchor distT="0" distB="0" distL="114300" distR="114300" simplePos="0" relativeHeight="251658240" behindDoc="0" locked="0" layoutInCell="1" allowOverlap="1" wp14:anchorId="3FB19C6B" wp14:editId="1BCA9DEC">
                    <wp:simplePos x="0" y="0"/>
                    <wp:positionH relativeFrom="column">
                      <wp:posOffset>2160905</wp:posOffset>
                    </wp:positionH>
                    <wp:positionV relativeFrom="paragraph">
                      <wp:posOffset>88265</wp:posOffset>
                    </wp:positionV>
                    <wp:extent cx="1473200" cy="3663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73200" cy="3669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E8780E" w14:textId="77777777" w:rsidR="000E7C14" w:rsidRDefault="00000000">
                                <w:pPr>
                                  <w:jc w:val="center"/>
                                  <w:rPr>
                                    <w:rFonts w:ascii="黑体" w:eastAsia="黑体" w:hAnsi="黑体" w:hint="eastAsia"/>
                                    <w:w w:val="70"/>
                                    <w:sz w:val="32"/>
                                  </w:rPr>
                                </w:pPr>
                                <w:r>
                                  <w:rPr>
                                    <w:rFonts w:ascii="黑体" w:eastAsia="黑体" w:hAnsi="黑体" w:hint="eastAsia"/>
                                    <w:w w:val="70"/>
                                    <w:sz w:val="32"/>
                                  </w:rPr>
                                  <w:t>质量管理</w:t>
                                </w:r>
                                <w:r>
                                  <w:rPr>
                                    <w:rFonts w:ascii="黑体" w:eastAsia="黑体" w:hAnsi="黑体"/>
                                    <w:w w:val="70"/>
                                    <w:sz w:val="32"/>
                                  </w:rPr>
                                  <w:t>体系文件</w:t>
                                </w:r>
                              </w:p>
                            </w:txbxContent>
                          </wps:txbx>
                          <wps:bodyPr rot="0" spcFirstLastPara="0" vertOverflow="overflow" horzOverflow="overflow" vert="horz" wrap="square" lIns="91440" tIns="45720" rIns="91440" bIns="45720" numCol="1" spcCol="0" rtlCol="0" fromWordArt="0" anchor="b" anchorCtr="0" forceAA="0" compatLnSpc="1">
                            <a:noAutofit/>
                          </wps:bodyPr>
                        </wps:wsp>
                      </a:graphicData>
                    </a:graphic>
                  </wp:anchor>
                </w:drawing>
              </mc:Choice>
              <mc:Fallback>
                <w:pict>
                  <v:shapetype w14:anchorId="3FB19C6B" id="_x0000_t202" coordsize="21600,21600" o:spt="202" path="m,l,21600r21600,l21600,xe">
                    <v:stroke joinstyle="miter"/>
                    <v:path gradientshapeok="t" o:connecttype="rect"/>
                  </v:shapetype>
                  <v:shape id="文本框 4" o:spid="_x0000_s1026" type="#_x0000_t202" style="position:absolute;margin-left:170.15pt;margin-top:6.95pt;width:116pt;height:28.85pt;z-index:25165824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" filled="f" stroked="f" strokeweight=".5pt">
                    <v:textbox>
                      <w:txbxContent>
                        <w:p w14:paraId="7FE8780E" w14:textId="77777777" w:rsidR="000E7C14" w:rsidRDefault="00000000">
                          <w:pPr>
                            <w:jc w:val="center"/>
                            <w:rPr>
                              <w:rFonts w:ascii="黑体" w:eastAsia="黑体" w:hAnsi="黑体" w:hint="eastAsia"/>
                              <w:w w:val="70"/>
                              <w:sz w:val="32"/>
                            </w:rPr>
                          </w:pPr>
                          <w:r>
                            <w:rPr>
                              <w:rFonts w:ascii="黑体" w:eastAsia="黑体" w:hAnsi="黑体" w:hint="eastAsia"/>
                              <w:w w:val="70"/>
                              <w:sz w:val="32"/>
                            </w:rPr>
                            <w:t>质量管理</w:t>
                          </w:r>
                          <w:r>
                            <w:rPr>
                              <w:rFonts w:ascii="黑体" w:eastAsia="黑体" w:hAnsi="黑体"/>
                              <w:w w:val="70"/>
                              <w:sz w:val="32"/>
                            </w:rPr>
                            <w:t>体系文件</w:t>
                          </w:r>
                        </w:p>
                      </w:txbxContent>
                    </v:textbox>
                  </v:shape>
                </w:pict>
              </mc:Fallback>
            </mc:AlternateContent>
          </w:r>
          <w:r>
            <w:rPr>
              <w:noProof/>
              <w:sz w:val="21"/>
              <w:szCs w:val="21"/>
            </w:rPr>
            <w:drawing>
              <wp:inline distT="0" distB="0" distL="0" distR="0" wp14:anchorId="47193389" wp14:editId="2CDAEF94">
                <wp:extent cx="2052320" cy="539750"/>
                <wp:effectExtent l="0" t="0" r="508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biLevel thresh="25000"/>
                          <a:extLst>
                            <a:ext uri="{28A0092B-C50C-407E-A947-70E740481C1C}">
                              <a14:useLocalDpi xmlns:a14="http://schemas.microsoft.com/office/drawing/2010/main" val="0"/>
                            </a:ext>
                          </a:extLst>
                        </a:blip>
                        <a:srcRect l="4447" t="9247" r="4601" b="10617"/>
                        <a:stretch>
                          <a:fillRect/>
                        </a:stretch>
                      </pic:blipFill>
                      <pic:spPr>
                        <a:xfrm>
                          <a:off x="0" y="0"/>
                          <a:ext cx="2052690" cy="540000"/>
                        </a:xfrm>
                        <a:prstGeom prst="rect">
                          <a:avLst/>
                        </a:prstGeom>
                        <a:ln>
                          <a:noFill/>
                        </a:ln>
                      </pic:spPr>
                    </pic:pic>
                  </a:graphicData>
                </a:graphic>
              </wp:inline>
            </w:drawing>
          </w:r>
        </w:p>
      </w:tc>
      <w:tc>
        <w:tcPr>
          <w:tcW w:w="990" w:type="dxa"/>
          <w:vAlign w:val="center"/>
        </w:tcPr>
        <w:p w14:paraId="1452A9F3" w14:textId="77777777" w:rsidR="000E7C14" w:rsidRDefault="00000000">
          <w:pPr>
            <w:pStyle w:val="a8"/>
            <w:pBdr>
              <w:bottom w:val="none" w:sz="0" w:space="0" w:color="auto"/>
            </w:pBdr>
            <w:rPr>
              <w:rFonts w:ascii="黑体" w:eastAsia="黑体" w:hAnsi="黑体" w:hint="eastAsia"/>
              <w:sz w:val="21"/>
              <w:szCs w:val="21"/>
            </w:rPr>
          </w:pPr>
          <w:r>
            <w:rPr>
              <w:rFonts w:ascii="黑体" w:eastAsia="黑体" w:hAnsi="黑体" w:hint="eastAsia"/>
              <w:sz w:val="21"/>
              <w:szCs w:val="21"/>
              <w:shd w:val="pct10" w:color="auto" w:fill="FFFFFF"/>
            </w:rPr>
            <w:t xml:space="preserve"> 编号 </w:t>
          </w:r>
        </w:p>
      </w:tc>
      <w:tc>
        <w:tcPr>
          <w:tcW w:w="2972" w:type="dxa"/>
          <w:gridSpan w:val="3"/>
          <w:vAlign w:val="center"/>
        </w:tcPr>
        <w:p w14:paraId="424E824E" w14:textId="77777777" w:rsidR="000E7C14" w:rsidRDefault="00000000">
          <w:pPr>
            <w:pStyle w:val="a8"/>
            <w:pBdr>
              <w:bottom w:val="none" w:sz="0" w:space="0" w:color="auto"/>
            </w:pBdr>
            <w:rPr>
              <w:sz w:val="24"/>
              <w:szCs w:val="24"/>
            </w:rPr>
          </w:pPr>
          <w:r>
            <w:rPr>
              <w:rFonts w:hint="eastAsia"/>
              <w:sz w:val="24"/>
              <w:szCs w:val="24"/>
            </w:rPr>
            <w:t>SJQU-WI- JW</w:t>
          </w:r>
          <w:r>
            <w:rPr>
              <w:color w:val="000000" w:themeColor="text1"/>
              <w:sz w:val="24"/>
              <w:szCs w:val="24"/>
            </w:rPr>
            <w:t>-911</w:t>
          </w:r>
        </w:p>
      </w:tc>
    </w:tr>
    <w:tr w:rsidR="000E7C14" w14:paraId="15D92C3F" w14:textId="77777777">
      <w:trPr>
        <w:trHeight w:val="462"/>
      </w:trPr>
      <w:tc>
        <w:tcPr>
          <w:tcW w:w="5949" w:type="dxa"/>
          <w:gridSpan w:val="2"/>
          <w:vMerge/>
          <w:vAlign w:val="center"/>
        </w:tcPr>
        <w:p w14:paraId="195A3811" w14:textId="77777777" w:rsidR="000E7C14" w:rsidRDefault="000E7C14">
          <w:pPr>
            <w:pStyle w:val="a8"/>
            <w:pBdr>
              <w:bottom w:val="none" w:sz="0" w:space="0" w:color="auto"/>
            </w:pBdr>
            <w:rPr>
              <w:sz w:val="21"/>
              <w:szCs w:val="21"/>
            </w:rPr>
          </w:pPr>
        </w:p>
      </w:tc>
      <w:tc>
        <w:tcPr>
          <w:tcW w:w="990" w:type="dxa"/>
          <w:vAlign w:val="center"/>
        </w:tcPr>
        <w:p w14:paraId="3525B027" w14:textId="77777777" w:rsidR="000E7C14" w:rsidRDefault="00000000">
          <w:pPr>
            <w:pStyle w:val="a8"/>
            <w:pBdr>
              <w:bottom w:val="none" w:sz="0" w:space="0" w:color="auto"/>
            </w:pBdr>
            <w:rPr>
              <w:rFonts w:ascii="黑体" w:eastAsia="黑体" w:hAnsi="黑体" w:hint="eastAsia"/>
              <w:sz w:val="21"/>
              <w:szCs w:val="21"/>
            </w:rPr>
          </w:pPr>
          <w:r>
            <w:rPr>
              <w:rFonts w:ascii="黑体" w:eastAsia="黑体" w:hAnsi="黑体" w:hint="eastAsia"/>
              <w:sz w:val="21"/>
              <w:szCs w:val="21"/>
              <w:shd w:val="pct10" w:color="auto" w:fill="FFFFFF"/>
            </w:rPr>
            <w:t xml:space="preserve"> 日期 </w:t>
          </w:r>
        </w:p>
      </w:tc>
      <w:tc>
        <w:tcPr>
          <w:tcW w:w="2972" w:type="dxa"/>
          <w:gridSpan w:val="3"/>
          <w:vAlign w:val="center"/>
        </w:tcPr>
        <w:p w14:paraId="01E3A90E" w14:textId="77777777" w:rsidR="000E7C14" w:rsidRDefault="00000000">
          <w:pPr>
            <w:pStyle w:val="a8"/>
            <w:pBdr>
              <w:bottom w:val="none" w:sz="0" w:space="0" w:color="auto"/>
            </w:pBdr>
            <w:rPr>
              <w:sz w:val="24"/>
              <w:szCs w:val="24"/>
            </w:rPr>
          </w:pPr>
          <w:r>
            <w:rPr>
              <w:color w:val="000000" w:themeColor="text1"/>
              <w:sz w:val="24"/>
              <w:szCs w:val="24"/>
            </w:rPr>
            <w:t>202</w:t>
          </w:r>
          <w:r>
            <w:rPr>
              <w:rFonts w:hint="eastAsia"/>
              <w:color w:val="000000" w:themeColor="text1"/>
              <w:sz w:val="24"/>
              <w:szCs w:val="24"/>
            </w:rPr>
            <w:t>4-</w:t>
          </w:r>
          <w:r>
            <w:rPr>
              <w:color w:val="000000" w:themeColor="text1"/>
              <w:sz w:val="24"/>
              <w:szCs w:val="24"/>
            </w:rPr>
            <w:t>1</w:t>
          </w:r>
          <w:r>
            <w:rPr>
              <w:rFonts w:hint="eastAsia"/>
              <w:color w:val="000000" w:themeColor="text1"/>
              <w:sz w:val="24"/>
              <w:szCs w:val="24"/>
            </w:rPr>
            <w:t>2-</w:t>
          </w:r>
          <w:r>
            <w:rPr>
              <w:color w:val="000000" w:themeColor="text1"/>
              <w:sz w:val="24"/>
              <w:szCs w:val="24"/>
            </w:rPr>
            <w:t>15</w:t>
          </w:r>
        </w:p>
      </w:tc>
    </w:tr>
    <w:tr w:rsidR="000E7C14" w14:paraId="0455F4F6" w14:textId="77777777">
      <w:trPr>
        <w:trHeight w:val="462"/>
      </w:trPr>
      <w:tc>
        <w:tcPr>
          <w:tcW w:w="1276" w:type="dxa"/>
          <w:vAlign w:val="center"/>
        </w:tcPr>
        <w:p w14:paraId="47831C2B" w14:textId="77777777" w:rsidR="000E7C14" w:rsidRDefault="00000000">
          <w:pPr>
            <w:pStyle w:val="a8"/>
            <w:pBdr>
              <w:bottom w:val="none" w:sz="0" w:space="0" w:color="auto"/>
            </w:pBdr>
            <w:rPr>
              <w:rFonts w:ascii="黑体" w:eastAsia="黑体" w:hAnsi="黑体" w:hint="eastAsia"/>
              <w:sz w:val="21"/>
              <w:szCs w:val="21"/>
            </w:rPr>
          </w:pPr>
          <w:r>
            <w:rPr>
              <w:rFonts w:ascii="黑体" w:eastAsia="黑体" w:hAnsi="黑体" w:hint="eastAsia"/>
              <w:sz w:val="21"/>
              <w:szCs w:val="21"/>
              <w:shd w:val="pct10" w:color="auto" w:fill="FFFFFF"/>
            </w:rPr>
            <w:t xml:space="preserve"> 文件名称 </w:t>
          </w:r>
        </w:p>
      </w:tc>
      <w:tc>
        <w:tcPr>
          <w:tcW w:w="4673" w:type="dxa"/>
          <w:vAlign w:val="center"/>
        </w:tcPr>
        <w:p w14:paraId="0BDC7FB5" w14:textId="77777777" w:rsidR="000E7C14" w:rsidRDefault="00000000">
          <w:pPr>
            <w:pStyle w:val="a8"/>
            <w:pBdr>
              <w:bottom w:val="none" w:sz="0" w:space="0" w:color="auto"/>
            </w:pBdr>
            <w:rPr>
              <w:sz w:val="24"/>
              <w:szCs w:val="24"/>
            </w:rPr>
          </w:pPr>
          <w:r>
            <w:rPr>
              <w:rFonts w:asciiTheme="minorEastAsia" w:hAnsiTheme="minorEastAsia" w:hint="eastAsia"/>
              <w:sz w:val="24"/>
              <w:szCs w:val="24"/>
            </w:rPr>
            <w:t>实验室安全管理办法</w:t>
          </w:r>
        </w:p>
      </w:tc>
      <w:tc>
        <w:tcPr>
          <w:tcW w:w="990" w:type="dxa"/>
          <w:vAlign w:val="center"/>
        </w:tcPr>
        <w:p w14:paraId="251BED51" w14:textId="77777777" w:rsidR="000E7C14" w:rsidRDefault="00000000">
          <w:pPr>
            <w:pStyle w:val="a8"/>
            <w:pBdr>
              <w:bottom w:val="none" w:sz="0" w:space="0" w:color="auto"/>
            </w:pBdr>
            <w:rPr>
              <w:rFonts w:ascii="黑体" w:eastAsia="黑体" w:hAnsi="黑体" w:hint="eastAsia"/>
              <w:sz w:val="21"/>
              <w:szCs w:val="21"/>
            </w:rPr>
          </w:pPr>
          <w:r>
            <w:rPr>
              <w:rFonts w:ascii="黑体" w:eastAsia="黑体" w:hAnsi="黑体" w:hint="eastAsia"/>
              <w:sz w:val="21"/>
              <w:szCs w:val="21"/>
              <w:shd w:val="pct10" w:color="auto" w:fill="FFFFFF"/>
            </w:rPr>
            <w:t xml:space="preserve"> 页次 </w:t>
          </w:r>
        </w:p>
      </w:tc>
      <w:tc>
        <w:tcPr>
          <w:tcW w:w="999" w:type="dxa"/>
          <w:vAlign w:val="center"/>
        </w:tcPr>
        <w:p w14:paraId="3B6BF67F" w14:textId="77777777" w:rsidR="000E7C14" w:rsidRDefault="00000000">
          <w:pPr>
            <w:pStyle w:val="a8"/>
            <w:pBdr>
              <w:bottom w:val="none" w:sz="0" w:space="0" w:color="auto"/>
            </w:pBdr>
            <w:rPr>
              <w:sz w:val="24"/>
              <w:szCs w:val="24"/>
            </w:rPr>
          </w:pPr>
          <w:r>
            <w:rPr>
              <w:bCs/>
              <w:sz w:val="24"/>
              <w:szCs w:val="24"/>
            </w:rPr>
            <w:fldChar w:fldCharType="begin"/>
          </w:r>
          <w:r>
            <w:rPr>
              <w:bCs/>
              <w:sz w:val="24"/>
              <w:szCs w:val="24"/>
            </w:rPr>
            <w:instrText>PAGE  \* Arabic  \* MERGEFORMAT</w:instrText>
          </w:r>
          <w:r>
            <w:rPr>
              <w:bCs/>
              <w:sz w:val="24"/>
              <w:szCs w:val="24"/>
            </w:rPr>
            <w:fldChar w:fldCharType="separate"/>
          </w:r>
          <w:r>
            <w:rPr>
              <w:bCs/>
              <w:sz w:val="24"/>
              <w:szCs w:val="24"/>
              <w:lang w:val="zh-CN"/>
            </w:rPr>
            <w:t>1</w:t>
          </w:r>
          <w:r>
            <w:rPr>
              <w:bCs/>
              <w:sz w:val="24"/>
              <w:szCs w:val="24"/>
            </w:rPr>
            <w:fldChar w:fldCharType="end"/>
          </w:r>
          <w:r>
            <w:rPr>
              <w:sz w:val="24"/>
              <w:szCs w:val="24"/>
              <w:lang w:val="zh-CN"/>
            </w:rPr>
            <w:t xml:space="preserve"> / </w:t>
          </w:r>
          <w:r>
            <w:rPr>
              <w:bCs/>
              <w:sz w:val="24"/>
              <w:szCs w:val="24"/>
            </w:rPr>
            <w:fldChar w:fldCharType="begin"/>
          </w:r>
          <w:r>
            <w:rPr>
              <w:bCs/>
              <w:sz w:val="24"/>
              <w:szCs w:val="24"/>
            </w:rPr>
            <w:instrText>NUMPAGES  \* Arabic  \* MERGEFORMAT</w:instrText>
          </w:r>
          <w:r>
            <w:rPr>
              <w:bCs/>
              <w:sz w:val="24"/>
              <w:szCs w:val="24"/>
            </w:rPr>
            <w:fldChar w:fldCharType="separate"/>
          </w:r>
          <w:r>
            <w:rPr>
              <w:bCs/>
              <w:sz w:val="24"/>
              <w:szCs w:val="24"/>
              <w:lang w:val="zh-CN"/>
            </w:rPr>
            <w:t>10</w:t>
          </w:r>
          <w:r>
            <w:rPr>
              <w:bCs/>
              <w:sz w:val="24"/>
              <w:szCs w:val="24"/>
            </w:rPr>
            <w:fldChar w:fldCharType="end"/>
          </w:r>
        </w:p>
      </w:tc>
      <w:tc>
        <w:tcPr>
          <w:tcW w:w="982" w:type="dxa"/>
          <w:vAlign w:val="center"/>
        </w:tcPr>
        <w:p w14:paraId="37DC3736" w14:textId="77777777" w:rsidR="000E7C14" w:rsidRDefault="00000000">
          <w:pPr>
            <w:pStyle w:val="a8"/>
            <w:pBdr>
              <w:bottom w:val="none" w:sz="0" w:space="0" w:color="auto"/>
            </w:pBdr>
            <w:rPr>
              <w:rFonts w:ascii="黑体" w:eastAsia="黑体" w:hAnsi="黑体" w:hint="eastAsia"/>
              <w:sz w:val="21"/>
              <w:szCs w:val="21"/>
            </w:rPr>
          </w:pPr>
          <w:r>
            <w:rPr>
              <w:rFonts w:ascii="黑体" w:eastAsia="黑体" w:hAnsi="黑体" w:hint="eastAsia"/>
              <w:sz w:val="21"/>
              <w:szCs w:val="21"/>
              <w:shd w:val="pct10" w:color="auto" w:fill="FFFFFF"/>
            </w:rPr>
            <w:t xml:space="preserve"> 版次 </w:t>
          </w:r>
        </w:p>
      </w:tc>
      <w:tc>
        <w:tcPr>
          <w:tcW w:w="991" w:type="dxa"/>
          <w:vAlign w:val="center"/>
        </w:tcPr>
        <w:p w14:paraId="163EDAA0" w14:textId="77777777" w:rsidR="000E7C14" w:rsidRDefault="00000000">
          <w:pPr>
            <w:pStyle w:val="a8"/>
            <w:pBdr>
              <w:bottom w:val="none" w:sz="0" w:space="0" w:color="auto"/>
            </w:pBdr>
            <w:rPr>
              <w:sz w:val="24"/>
              <w:szCs w:val="24"/>
            </w:rPr>
          </w:pPr>
          <w:r>
            <w:rPr>
              <w:rFonts w:hint="eastAsia"/>
              <w:sz w:val="24"/>
              <w:szCs w:val="24"/>
            </w:rPr>
            <w:t>A</w:t>
          </w:r>
          <w:r>
            <w:rPr>
              <w:sz w:val="24"/>
              <w:szCs w:val="24"/>
            </w:rPr>
            <w:t>2</w:t>
          </w:r>
        </w:p>
      </w:tc>
    </w:tr>
  </w:tbl>
  <w:p w14:paraId="70A323C2" w14:textId="77777777" w:rsidR="000E7C14" w:rsidRDefault="000E7C14">
    <w:pPr>
      <w:pStyle w:val="a8"/>
      <w:pBdr>
        <w:bottom w:val="single" w:sz="6" w:space="0" w:color="auto"/>
      </w:pBdr>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A40B41"/>
    <w:rsid w:val="0001314E"/>
    <w:rsid w:val="00035D90"/>
    <w:rsid w:val="000A19E1"/>
    <w:rsid w:val="000C6410"/>
    <w:rsid w:val="000D0E4C"/>
    <w:rsid w:val="000E7C14"/>
    <w:rsid w:val="00106A60"/>
    <w:rsid w:val="001375BE"/>
    <w:rsid w:val="001F71C1"/>
    <w:rsid w:val="002473DB"/>
    <w:rsid w:val="002917CE"/>
    <w:rsid w:val="002B6FEA"/>
    <w:rsid w:val="002D0ECC"/>
    <w:rsid w:val="002D5130"/>
    <w:rsid w:val="003225FE"/>
    <w:rsid w:val="00325536"/>
    <w:rsid w:val="00327199"/>
    <w:rsid w:val="003A660F"/>
    <w:rsid w:val="003D69EE"/>
    <w:rsid w:val="003F5097"/>
    <w:rsid w:val="003F635D"/>
    <w:rsid w:val="0046652A"/>
    <w:rsid w:val="004A4838"/>
    <w:rsid w:val="004E3AC2"/>
    <w:rsid w:val="00593E36"/>
    <w:rsid w:val="005A51C6"/>
    <w:rsid w:val="005C3CF5"/>
    <w:rsid w:val="005D5676"/>
    <w:rsid w:val="00607E3C"/>
    <w:rsid w:val="00691636"/>
    <w:rsid w:val="00702DE3"/>
    <w:rsid w:val="007418D6"/>
    <w:rsid w:val="00782C54"/>
    <w:rsid w:val="00790180"/>
    <w:rsid w:val="007D4C6F"/>
    <w:rsid w:val="00866B55"/>
    <w:rsid w:val="008838FE"/>
    <w:rsid w:val="008C3A9E"/>
    <w:rsid w:val="008F44C7"/>
    <w:rsid w:val="008F630A"/>
    <w:rsid w:val="009656FF"/>
    <w:rsid w:val="00967166"/>
    <w:rsid w:val="00977CED"/>
    <w:rsid w:val="00990A95"/>
    <w:rsid w:val="009D0E27"/>
    <w:rsid w:val="009D1996"/>
    <w:rsid w:val="00A005D3"/>
    <w:rsid w:val="00A200C1"/>
    <w:rsid w:val="00A40B41"/>
    <w:rsid w:val="00A45978"/>
    <w:rsid w:val="00A5764A"/>
    <w:rsid w:val="00A9222A"/>
    <w:rsid w:val="00AA3E54"/>
    <w:rsid w:val="00AB6B7F"/>
    <w:rsid w:val="00B012AF"/>
    <w:rsid w:val="00B029D8"/>
    <w:rsid w:val="00B134FA"/>
    <w:rsid w:val="00B32C66"/>
    <w:rsid w:val="00B55387"/>
    <w:rsid w:val="00BB09F2"/>
    <w:rsid w:val="00BB6541"/>
    <w:rsid w:val="00BB7C21"/>
    <w:rsid w:val="00BE21CE"/>
    <w:rsid w:val="00BE2D64"/>
    <w:rsid w:val="00C14C2E"/>
    <w:rsid w:val="00C15D76"/>
    <w:rsid w:val="00C81861"/>
    <w:rsid w:val="00CC3DFB"/>
    <w:rsid w:val="00CE595C"/>
    <w:rsid w:val="00D12396"/>
    <w:rsid w:val="00D8291B"/>
    <w:rsid w:val="00D9404A"/>
    <w:rsid w:val="00DB0074"/>
    <w:rsid w:val="00DC0AC8"/>
    <w:rsid w:val="00DE00CB"/>
    <w:rsid w:val="00DE5FFE"/>
    <w:rsid w:val="00DF347A"/>
    <w:rsid w:val="00DF53B3"/>
    <w:rsid w:val="00E12089"/>
    <w:rsid w:val="00E1454E"/>
    <w:rsid w:val="00E43A99"/>
    <w:rsid w:val="00E534D7"/>
    <w:rsid w:val="00E7145D"/>
    <w:rsid w:val="00E742A9"/>
    <w:rsid w:val="00F06958"/>
    <w:rsid w:val="00F07904"/>
    <w:rsid w:val="00F52AFA"/>
    <w:rsid w:val="00F85480"/>
    <w:rsid w:val="00FA20F1"/>
    <w:rsid w:val="00FA39E1"/>
    <w:rsid w:val="00FE6F00"/>
    <w:rsid w:val="00FF2F0E"/>
    <w:rsid w:val="2470487C"/>
    <w:rsid w:val="28CE6280"/>
    <w:rsid w:val="2D3D1B58"/>
    <w:rsid w:val="31B73948"/>
    <w:rsid w:val="3D050763"/>
    <w:rsid w:val="4C590044"/>
    <w:rsid w:val="53B13067"/>
    <w:rsid w:val="5AEF4CA6"/>
    <w:rsid w:val="64FF1718"/>
    <w:rsid w:val="66936B1B"/>
    <w:rsid w:val="774F1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9DB2C0-6BD3-44E6-87EE-5F0F8842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qFormat/>
    <w:rPr>
      <w:sz w:val="21"/>
      <w:szCs w:val="21"/>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kern w:val="2"/>
      <w:sz w:val="18"/>
      <w:szCs w:val="18"/>
    </w:rPr>
  </w:style>
  <w:style w:type="paragraph" w:customStyle="1" w:styleId="4">
    <w:name w:val="无间隔4"/>
    <w:uiPriority w:val="1"/>
    <w:qFormat/>
    <w:pPr>
      <w:widowControl w:val="0"/>
      <w:jc w:val="both"/>
    </w:pPr>
    <w:rPr>
      <w:rFonts w:ascii="Times New Roman" w:eastAsia="宋体" w:hAnsi="Times New Roman" w:cs="Times New Roman"/>
      <w:kern w:val="2"/>
      <w:sz w:val="21"/>
      <w:szCs w:val="24"/>
    </w:rPr>
  </w:style>
  <w:style w:type="table" w:customStyle="1" w:styleId="TableNormal">
    <w:name w:val="Table Normal"/>
    <w:semiHidden/>
    <w:unhideWhenUsed/>
    <w:qFormat/>
    <w:tblPr>
      <w:tblCellMar>
        <w:top w:w="0" w:type="dxa"/>
        <w:left w:w="0" w:type="dxa"/>
        <w:bottom w:w="0" w:type="dxa"/>
        <w:right w:w="0" w:type="dxa"/>
      </w:tblCellMar>
    </w:tblPr>
  </w:style>
  <w:style w:type="paragraph" w:styleId="ac">
    <w:name w:val="Revision"/>
    <w:hidden/>
    <w:uiPriority w:val="99"/>
    <w:unhideWhenUsed/>
    <w:rsid w:val="003F509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48D361C5-C1E8-4B99-A3BE-8A3697CD84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3079</Words>
  <Characters>3326</Characters>
  <Application>Microsoft Office Word</Application>
  <DocSecurity>0</DocSecurity>
  <Lines>166</Lines>
  <Paragraphs>148</Paragraphs>
  <ScaleCrop>false</ScaleCrop>
  <Company>上海建桥学院</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徐皓刚</dc:creator>
  <cp:lastModifiedBy>保虎 刘</cp:lastModifiedBy>
  <cp:revision>35</cp:revision>
  <cp:lastPrinted>2017-09-21T05:27:00Z</cp:lastPrinted>
  <dcterms:created xsi:type="dcterms:W3CDTF">2017-09-21T08:43:00Z</dcterms:created>
  <dcterms:modified xsi:type="dcterms:W3CDTF">2026-04-22T00:40:00Z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422D3AC74C9F44D6B6E47499F73D9644</vt:lpwstr>
  </property>
  <property fmtid="{D5CDD505-2E9C-101B-9397-08002B2CF9AE}" pid="4" name="KSOTemplateDocerSaveRecord">
    <vt:lpwstr>eyJoZGlkIjoiZjFkMjRiMzY0MzcyZDlhNDQ5ODkzNWNmODY5YTNjOTQiLCJ1c2VySWQiOiI0NzIxNDg1NTUifQ==</vt:lpwstr>
  </property>
</Properties>
</file>