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C4F34">
      <w:pPr>
        <w:spacing w:before="0" w:after="100"/>
        <w:jc w:val="center"/>
      </w:pPr>
      <w:r>
        <w:rPr>
          <w:rFonts w:ascii="Times New Roman" w:hAnsi="Times New Roman" w:eastAsia="宋体"/>
          <w:b/>
          <w:sz w:val="32"/>
        </w:rPr>
        <w:t>《Journal of Clinical and Nursing Research》</w:t>
      </w:r>
    </w:p>
    <w:p w14:paraId="11DA92D6">
      <w:pPr>
        <w:spacing w:before="0" w:after="100"/>
        <w:jc w:val="center"/>
      </w:pPr>
      <w:r>
        <w:rPr>
          <w:rFonts w:ascii="Times New Roman" w:hAnsi="Times New Roman" w:eastAsia="宋体"/>
          <w:b/>
          <w:sz w:val="32"/>
        </w:rPr>
        <w:t>特刊论文征稿启事</w:t>
      </w:r>
    </w:p>
    <w:p w14:paraId="05252F07">
      <w:pPr>
        <w:spacing w:after="80" w:line="300" w:lineRule="auto"/>
        <w:ind w:firstLine="440"/>
      </w:pPr>
      <w:r>
        <w:rPr>
          <w:rFonts w:ascii="Times New Roman" w:hAnsi="Times New Roman" w:eastAsia="宋体"/>
          <w:sz w:val="22"/>
        </w:rPr>
        <w:t>为积极回应全球人口老龄化、慢性非传染性疾病防治压力增加以及健康照护服务模式持续转型等现实需求，推动健康管理、护理与养老服务领域的学术交流和实践创新，《Journal of Clinical and Nursing Research》（临床和护理研究杂志）现面向国内外专家学者、临床护理人员、健康管理与养老服务从业者征集英文稿件。</w:t>
      </w:r>
    </w:p>
    <w:p w14:paraId="56C027A7">
      <w:pPr>
        <w:spacing w:after="80" w:line="300" w:lineRule="auto"/>
        <w:ind w:firstLine="440"/>
      </w:pPr>
      <w:r>
        <w:rPr>
          <w:rFonts w:ascii="Times New Roman" w:hAnsi="Times New Roman" w:eastAsia="宋体"/>
          <w:sz w:val="22"/>
        </w:rPr>
        <w:t>本次征稿将结合“2026健康管理、护理与养老智能创新发展国际论坛”相关交流方向，围绕数智背景下健康照护前沿研究、护理服务创新、养老服务体系建设、人才培养与产业实践等议题，遴选具有学术价值、实践意义和推广潜力的研究成果。</w:t>
      </w:r>
    </w:p>
    <w:p w14:paraId="2D8ABC42">
      <w:pPr>
        <w:spacing w:before="100" w:after="60"/>
      </w:pPr>
      <w:r>
        <w:rPr>
          <w:rFonts w:ascii="Times New Roman" w:hAnsi="Times New Roman" w:eastAsia="宋体"/>
          <w:b/>
          <w:sz w:val="24"/>
        </w:rPr>
        <w:t>一、期刊信息</w:t>
      </w:r>
    </w:p>
    <w:p w14:paraId="4F1A4DD1">
      <w:pPr>
        <w:spacing w:after="40" w:line="276" w:lineRule="auto"/>
        <w:ind w:left="360" w:hanging="360"/>
      </w:pPr>
      <w:r>
        <w:rPr>
          <w:rFonts w:ascii="Times New Roman" w:hAnsi="Times New Roman" w:eastAsia="宋体"/>
          <w:sz w:val="21"/>
        </w:rPr>
        <w:t>1. 期刊名称：Journal of Clinical and Nursing Research（临床和护理研究杂志）</w:t>
      </w:r>
    </w:p>
    <w:p w14:paraId="55179A8C">
      <w:pPr>
        <w:spacing w:after="40" w:line="276" w:lineRule="auto"/>
        <w:ind w:left="360" w:hanging="360"/>
      </w:pPr>
      <w:r>
        <w:rPr>
          <w:rFonts w:ascii="Times New Roman" w:hAnsi="Times New Roman" w:eastAsia="宋体"/>
          <w:sz w:val="21"/>
        </w:rPr>
        <w:t>2. 期刊官网：https://ojs.bbwpublisher.com/index.php/JCNR</w:t>
      </w:r>
    </w:p>
    <w:p w14:paraId="164A2BE7">
      <w:pPr>
        <w:spacing w:after="40" w:line="276" w:lineRule="auto"/>
        <w:ind w:left="360" w:hanging="360"/>
      </w:pPr>
      <w:r>
        <w:rPr>
          <w:rFonts w:ascii="Times New Roman" w:hAnsi="Times New Roman" w:eastAsia="宋体"/>
          <w:sz w:val="21"/>
        </w:rPr>
        <w:t>3. 出版社：Bio-Byword Scientific Publishing（百图科学出版社）</w:t>
      </w:r>
    </w:p>
    <w:p w14:paraId="3840CD73">
      <w:pPr>
        <w:spacing w:after="40" w:line="276" w:lineRule="auto"/>
        <w:ind w:left="360" w:hanging="360"/>
        <w:rPr>
          <w:rFonts w:ascii="Times New Roman" w:hAnsi="Times New Roman" w:eastAsia="宋体"/>
          <w:sz w:val="21"/>
        </w:rPr>
      </w:pPr>
      <w:r>
        <w:rPr>
          <w:rFonts w:ascii="Times New Roman" w:hAnsi="Times New Roman" w:eastAsia="宋体"/>
          <w:sz w:val="21"/>
        </w:rPr>
        <w:t>4. 投稿性质：国际英文期刊论文征稿</w:t>
      </w:r>
    </w:p>
    <w:p w14:paraId="067674D7">
      <w:pPr>
        <w:spacing w:after="40" w:line="276" w:lineRule="auto"/>
        <w:ind w:left="360" w:hanging="360"/>
        <w:rPr>
          <w:rFonts w:hint="eastAsia"/>
          <w:sz w:val="21"/>
          <w:lang w:val="en-US" w:eastAsia="zh-CN"/>
        </w:rPr>
      </w:pPr>
      <w:r>
        <w:rPr>
          <w:rFonts w:hint="eastAsia"/>
          <w:sz w:val="21"/>
          <w:lang w:val="en-US" w:eastAsia="zh-CN"/>
        </w:rPr>
        <w:t>5. 截至日期：2026年11月15日</w:t>
      </w:r>
    </w:p>
    <w:p w14:paraId="310F1E41">
      <w:pPr>
        <w:spacing w:after="40" w:line="276" w:lineRule="auto"/>
        <w:ind w:left="360" w:hanging="360"/>
        <w:rPr>
          <w:rFonts w:hint="default"/>
          <w:sz w:val="21"/>
          <w:lang w:val="en-US" w:eastAsia="zh-CN"/>
        </w:rPr>
      </w:pPr>
      <w:r>
        <w:rPr>
          <w:rFonts w:hint="default"/>
          <w:sz w:val="21"/>
          <w:lang w:val="en-US" w:eastAsia="zh-CN"/>
        </w:rPr>
        <w:t>6.收稿邮箱</w:t>
      </w:r>
      <w:r>
        <w:rPr>
          <w:rFonts w:hint="eastAsia"/>
          <w:sz w:val="21"/>
          <w:lang w:val="en-US" w:eastAsia="zh-CN"/>
        </w:rPr>
        <w:t>：</w:t>
      </w:r>
      <w:r>
        <w:rPr>
          <w:rFonts w:hint="default"/>
          <w:sz w:val="21"/>
          <w:lang w:val="en-US" w:eastAsia="zh-CN"/>
        </w:rPr>
        <w:fldChar w:fldCharType="begin"/>
      </w:r>
      <w:r>
        <w:rPr>
          <w:rFonts w:hint="default"/>
          <w:sz w:val="21"/>
          <w:lang w:val="en-US" w:eastAsia="zh-CN"/>
        </w:rPr>
        <w:instrText xml:space="preserve"> HYPERLINK "mailto:22608@gench.edu.cn" </w:instrText>
      </w:r>
      <w:r>
        <w:rPr>
          <w:rFonts w:hint="default"/>
          <w:sz w:val="21"/>
          <w:lang w:val="en-US" w:eastAsia="zh-CN"/>
        </w:rPr>
        <w:fldChar w:fldCharType="separate"/>
      </w:r>
      <w:r>
        <w:rPr>
          <w:rStyle w:val="135"/>
          <w:rFonts w:hint="default"/>
          <w:sz w:val="21"/>
          <w:lang w:val="en-US" w:eastAsia="zh-CN"/>
        </w:rPr>
        <w:t>22608@gench.edu.cn</w:t>
      </w:r>
      <w:r>
        <w:rPr>
          <w:rFonts w:hint="default"/>
          <w:sz w:val="21"/>
          <w:lang w:val="en-US" w:eastAsia="zh-CN"/>
        </w:rPr>
        <w:fldChar w:fldCharType="end"/>
      </w:r>
    </w:p>
    <w:p w14:paraId="2B4C633D">
      <w:pPr>
        <w:spacing w:after="40" w:line="276" w:lineRule="auto"/>
        <w:ind w:left="359" w:leftChars="103" w:hanging="132" w:hangingChars="63"/>
        <w:rPr>
          <w:rFonts w:hint="default"/>
          <w:sz w:val="21"/>
          <w:lang w:val="en-US" w:eastAsia="zh-CN"/>
        </w:rPr>
      </w:pPr>
      <w:r>
        <w:rPr>
          <w:rFonts w:hint="default"/>
          <w:sz w:val="21"/>
          <w:lang w:val="en-US" w:eastAsia="zh-CN"/>
        </w:rPr>
        <w:t>邮件主题</w:t>
      </w:r>
      <w:r>
        <w:rPr>
          <w:rFonts w:hint="eastAsia"/>
          <w:sz w:val="21"/>
          <w:lang w:val="en-US" w:eastAsia="zh-CN"/>
        </w:rPr>
        <w:t>：</w:t>
      </w:r>
      <w:r>
        <w:rPr>
          <w:rFonts w:hint="default"/>
          <w:sz w:val="21"/>
          <w:lang w:val="en-US" w:eastAsia="zh-CN"/>
        </w:rPr>
        <w:t>投稿主题(1/2/3/4/5</w:t>
      </w:r>
      <w:r>
        <w:rPr>
          <w:rFonts w:hint="eastAsia"/>
          <w:sz w:val="21"/>
          <w:lang w:val="en-US" w:eastAsia="zh-CN"/>
        </w:rPr>
        <w:t>/6</w:t>
      </w:r>
      <w:r>
        <w:rPr>
          <w:rFonts w:hint="default"/>
          <w:sz w:val="21"/>
          <w:lang w:val="en-US" w:eastAsia="zh-CN"/>
        </w:rPr>
        <w:t>)+论文题目</w:t>
      </w:r>
    </w:p>
    <w:p w14:paraId="47EDB8D6">
      <w:pPr>
        <w:spacing w:after="40" w:line="276" w:lineRule="auto"/>
        <w:rPr>
          <w:rFonts w:hint="default"/>
          <w:sz w:val="21"/>
          <w:lang w:val="en-US" w:eastAsia="zh-CN"/>
        </w:rPr>
      </w:pPr>
      <w:r>
        <w:rPr>
          <w:rFonts w:hint="eastAsia"/>
          <w:sz w:val="21"/>
          <w:lang w:val="en-US" w:eastAsia="zh-CN"/>
        </w:rPr>
        <w:t>7</w:t>
      </w:r>
      <w:r>
        <w:rPr>
          <w:rFonts w:hint="default"/>
          <w:sz w:val="21"/>
          <w:lang w:val="en-US" w:eastAsia="zh-CN"/>
        </w:rPr>
        <w:t>.联系电话</w:t>
      </w:r>
      <w:r>
        <w:rPr>
          <w:rFonts w:hint="eastAsia"/>
          <w:sz w:val="21"/>
          <w:lang w:val="en-US" w:eastAsia="zh-CN"/>
        </w:rPr>
        <w:t>：</w:t>
      </w:r>
      <w:r>
        <w:rPr>
          <w:rFonts w:hint="default"/>
          <w:sz w:val="21"/>
          <w:lang w:val="en-US" w:eastAsia="zh-CN"/>
        </w:rPr>
        <w:t>高老师18717968927</w:t>
      </w:r>
    </w:p>
    <w:p w14:paraId="2DE8C5E6">
      <w:pPr>
        <w:spacing w:before="100" w:after="60"/>
      </w:pPr>
      <w:r>
        <w:rPr>
          <w:rFonts w:ascii="Times New Roman" w:hAnsi="Times New Roman" w:eastAsia="宋体"/>
          <w:b/>
          <w:sz w:val="24"/>
        </w:rPr>
        <w:t>二、征稿主题</w:t>
      </w:r>
    </w:p>
    <w:p w14:paraId="48501EA3">
      <w:pPr>
        <w:spacing w:after="80" w:line="300" w:lineRule="auto"/>
        <w:ind w:firstLine="440"/>
      </w:pPr>
      <w:r>
        <w:rPr>
          <w:rFonts w:ascii="Times New Roman" w:hAnsi="Times New Roman" w:eastAsia="宋体"/>
          <w:sz w:val="22"/>
        </w:rPr>
        <w:t>论文可围绕但不限于以下方向展开：</w:t>
      </w:r>
    </w:p>
    <w:p w14:paraId="15D28EEF">
      <w:pPr>
        <w:spacing w:after="40" w:line="276" w:lineRule="auto"/>
        <w:ind w:left="360" w:hanging="360"/>
      </w:pPr>
      <w:r>
        <w:rPr>
          <w:rFonts w:ascii="Times New Roman" w:hAnsi="Times New Roman" w:eastAsia="宋体"/>
          <w:sz w:val="21"/>
        </w:rPr>
        <w:t>1. 数智背景下健康管理、护理与养老服务新模式探索；</w:t>
      </w:r>
    </w:p>
    <w:p w14:paraId="7A621816">
      <w:pPr>
        <w:spacing w:after="40" w:line="276" w:lineRule="auto"/>
        <w:ind w:left="360" w:hanging="360"/>
      </w:pPr>
      <w:r>
        <w:rPr>
          <w:rFonts w:ascii="Times New Roman" w:hAnsi="Times New Roman" w:eastAsia="宋体"/>
          <w:sz w:val="21"/>
        </w:rPr>
        <w:t>2. 临床护理、社区护理、老年护理及长期照护服务实践研究；</w:t>
      </w:r>
    </w:p>
    <w:p w14:paraId="20773EE4">
      <w:pPr>
        <w:spacing w:after="40" w:line="276" w:lineRule="auto"/>
        <w:ind w:left="360" w:hanging="360"/>
      </w:pPr>
      <w:r>
        <w:rPr>
          <w:rFonts w:ascii="Times New Roman" w:hAnsi="Times New Roman" w:eastAsia="宋体"/>
          <w:sz w:val="21"/>
        </w:rPr>
        <w:t>3. 智慧健康、智慧养老、远程照护、数字化管理工具在健康照护中的应用；</w:t>
      </w:r>
    </w:p>
    <w:p w14:paraId="428FFF8E">
      <w:pPr>
        <w:spacing w:after="40" w:line="276" w:lineRule="auto"/>
        <w:ind w:left="360" w:hanging="360"/>
      </w:pPr>
      <w:r>
        <w:rPr>
          <w:rFonts w:ascii="Times New Roman" w:hAnsi="Times New Roman" w:eastAsia="宋体"/>
          <w:sz w:val="21"/>
        </w:rPr>
        <w:t>4. 慢病管理、主动健康、康复护理、安宁疗护和健康促进相关研究；</w:t>
      </w:r>
    </w:p>
    <w:p w14:paraId="1A386E13">
      <w:pPr>
        <w:spacing w:after="40" w:line="276" w:lineRule="auto"/>
        <w:ind w:left="360" w:hanging="360"/>
      </w:pPr>
      <w:r>
        <w:rPr>
          <w:rFonts w:ascii="Times New Roman" w:hAnsi="Times New Roman" w:eastAsia="宋体"/>
          <w:sz w:val="21"/>
        </w:rPr>
        <w:t>5. 健康管理、护理与养老服务人才培养模式、课程建设和实践教学改革；</w:t>
      </w:r>
    </w:p>
    <w:p w14:paraId="0F3C64AC">
      <w:pPr>
        <w:spacing w:after="40" w:line="276" w:lineRule="auto"/>
        <w:ind w:left="360" w:hanging="360"/>
      </w:pPr>
      <w:r>
        <w:rPr>
          <w:rFonts w:ascii="Times New Roman" w:hAnsi="Times New Roman" w:eastAsia="宋体"/>
          <w:sz w:val="21"/>
        </w:rPr>
        <w:t>6. 国际先进照护理念、护理模式及养老服务体系比较研究；</w:t>
      </w:r>
    </w:p>
    <w:p w14:paraId="40B877E4">
      <w:pPr>
        <w:spacing w:before="100" w:after="60"/>
      </w:pPr>
      <w:r>
        <w:rPr>
          <w:rFonts w:ascii="Times New Roman" w:hAnsi="Times New Roman" w:eastAsia="宋体"/>
          <w:b/>
          <w:sz w:val="24"/>
        </w:rPr>
        <w:t>三、会议平台</w:t>
      </w:r>
    </w:p>
    <w:p w14:paraId="73B284ED">
      <w:pPr>
        <w:spacing w:after="80" w:line="300" w:lineRule="auto"/>
        <w:ind w:firstLine="440"/>
        <w:rPr>
          <w:rFonts w:ascii="Times New Roman" w:hAnsi="Times New Roman" w:eastAsia="宋体"/>
          <w:sz w:val="22"/>
        </w:rPr>
      </w:pPr>
      <w:r>
        <w:rPr>
          <w:rFonts w:ascii="Times New Roman" w:hAnsi="Times New Roman" w:eastAsia="宋体"/>
          <w:sz w:val="22"/>
        </w:rPr>
        <w:t>本次征稿将与“2026健康管理、护理与养老智能创新发展国际论坛”相关工作同步推进。论坛拟于2026年11月7日至8日在上海建桥学院举行，由上海建桥学院主办、上海建桥学院健康管理学院承办。论坛以“智慧融合，温暖照护——数智背景下的健康照护前沿研究与教育变革”为主题，旨在汇聚国内外健康管理、护理、养老及大健康产业领域专家学者，共同探讨健康照护前沿研究、教育变革与产业创新发展路径。</w:t>
      </w:r>
    </w:p>
    <w:p w14:paraId="12405E19">
      <w:pPr>
        <w:spacing w:after="80" w:line="300" w:lineRule="auto"/>
        <w:ind w:firstLine="440"/>
        <w:rPr>
          <w:rFonts w:ascii="Times New Roman" w:hAnsi="Times New Roman" w:eastAsia="宋体"/>
          <w:sz w:val="22"/>
        </w:rPr>
      </w:pPr>
    </w:p>
    <w:p w14:paraId="6EE08C38">
      <w:pPr>
        <w:spacing w:before="100" w:after="60"/>
      </w:pPr>
      <w:r>
        <w:rPr>
          <w:rFonts w:ascii="Times New Roman" w:hAnsi="Times New Roman" w:eastAsia="宋体"/>
          <w:b/>
          <w:sz w:val="24"/>
        </w:rPr>
        <w:t>四、英文稿件投稿标准</w:t>
      </w:r>
    </w:p>
    <w:p w14:paraId="30CC476B">
      <w:pPr>
        <w:spacing w:after="40" w:line="276" w:lineRule="auto"/>
        <w:ind w:left="360" w:hanging="360"/>
      </w:pPr>
      <w:r>
        <w:rPr>
          <w:rFonts w:ascii="Times New Roman" w:hAnsi="Times New Roman" w:eastAsia="宋体"/>
          <w:sz w:val="21"/>
        </w:rPr>
        <w:t>1. 英文单词数建议控制在2500—3000词左右，基本相当于中文4500字左右；病例报告类文章可根据内容适当调整。</w:t>
      </w:r>
    </w:p>
    <w:p w14:paraId="5AA34D5C">
      <w:pPr>
        <w:spacing w:after="40" w:line="276" w:lineRule="auto"/>
        <w:ind w:left="360" w:hanging="360"/>
      </w:pPr>
      <w:r>
        <w:rPr>
          <w:rFonts w:ascii="Times New Roman" w:hAnsi="Times New Roman" w:eastAsia="宋体"/>
          <w:sz w:val="21"/>
        </w:rPr>
        <w:t>2. 文章内容应切合期刊选题，重点围绕临床护理、健康管理、养老服务、护理教育、公共健康、康复照护、慢病管理等相关方向。</w:t>
      </w:r>
    </w:p>
    <w:p w14:paraId="2CBB7E05">
      <w:pPr>
        <w:spacing w:after="40" w:line="276" w:lineRule="auto"/>
        <w:ind w:left="360" w:hanging="360"/>
      </w:pPr>
      <w:r>
        <w:rPr>
          <w:rFonts w:ascii="Times New Roman" w:hAnsi="Times New Roman" w:eastAsia="宋体"/>
          <w:sz w:val="21"/>
        </w:rPr>
        <w:t>3. 英文表达应通俗、清晰、自然，避免明显机械翻译痕迹；建议投稿前进行必要的英文润色。</w:t>
      </w:r>
    </w:p>
    <w:p w14:paraId="4B5C043D">
      <w:pPr>
        <w:spacing w:after="40" w:line="276" w:lineRule="auto"/>
        <w:ind w:left="360" w:hanging="360"/>
      </w:pPr>
      <w:r>
        <w:rPr>
          <w:rFonts w:ascii="Times New Roman" w:hAnsi="Times New Roman" w:eastAsia="宋体"/>
          <w:sz w:val="21"/>
        </w:rPr>
        <w:t>4. 参考文献一般为10—20条，建议优先引用近5年文献；病例报告类文章参考文献可控制在5—15条。</w:t>
      </w:r>
    </w:p>
    <w:p w14:paraId="5E1881C6">
      <w:pPr>
        <w:spacing w:after="40" w:line="276" w:lineRule="auto"/>
        <w:ind w:left="360" w:hanging="360"/>
      </w:pPr>
      <w:r>
        <w:rPr>
          <w:rFonts w:ascii="Times New Roman" w:hAnsi="Times New Roman" w:eastAsia="宋体"/>
          <w:sz w:val="21"/>
        </w:rPr>
        <w:t>5. 文章内容需完整，包括题目、作者信息、摘要、关键词、正文、利益冲突声明、基金或课题信息、参考文献等。</w:t>
      </w:r>
    </w:p>
    <w:p w14:paraId="069BD3D7">
      <w:pPr>
        <w:spacing w:after="40" w:line="276" w:lineRule="auto"/>
        <w:ind w:left="360" w:hanging="360"/>
      </w:pPr>
      <w:r>
        <w:rPr>
          <w:rFonts w:ascii="Times New Roman" w:hAnsi="Times New Roman" w:eastAsia="宋体"/>
          <w:sz w:val="21"/>
        </w:rPr>
        <w:t>6. 正文参考文献引用采用数字上角标或方括号数字标注方式，如[1]、[2]。</w:t>
      </w:r>
    </w:p>
    <w:p w14:paraId="00A3529B">
      <w:pPr>
        <w:spacing w:after="40" w:line="276" w:lineRule="auto"/>
        <w:ind w:left="360" w:hanging="360"/>
      </w:pPr>
      <w:r>
        <w:rPr>
          <w:rFonts w:ascii="Times New Roman" w:hAnsi="Times New Roman" w:eastAsia="宋体"/>
          <w:sz w:val="21"/>
        </w:rPr>
        <w:t>7. 参考文献信息须完整。期刊文献格式建议为：作者姓名，年份，文章名，期刊名，卷（期）：页码范围，DOI或文章ID。多位作者请至少列出前三位作者。</w:t>
      </w:r>
    </w:p>
    <w:p w14:paraId="7AB3DC7F">
      <w:pPr>
        <w:spacing w:after="40" w:line="276" w:lineRule="auto"/>
        <w:ind w:left="360" w:hanging="360"/>
      </w:pPr>
      <w:r>
        <w:rPr>
          <w:rFonts w:ascii="Times New Roman" w:hAnsi="Times New Roman" w:eastAsia="宋体"/>
          <w:sz w:val="21"/>
        </w:rPr>
        <w:t>8. 在线文献需提供有效网址、网站名称，并注明作者访问日期（年、月、日 viewed date）。</w:t>
      </w:r>
    </w:p>
    <w:p w14:paraId="0F55F56B">
      <w:pPr>
        <w:spacing w:after="40" w:line="276" w:lineRule="auto"/>
        <w:ind w:left="360" w:hanging="360"/>
      </w:pPr>
      <w:r>
        <w:rPr>
          <w:rFonts w:ascii="Times New Roman" w:hAnsi="Times New Roman" w:eastAsia="宋体"/>
          <w:sz w:val="21"/>
        </w:rPr>
        <w:t>9. 书籍文献格式建议为：作者姓名，年份，书名，出版地：出版社名称。</w:t>
      </w:r>
    </w:p>
    <w:p w14:paraId="50AC1E14">
      <w:pPr>
        <w:spacing w:after="40" w:line="276" w:lineRule="auto"/>
        <w:ind w:left="360" w:hanging="360"/>
      </w:pPr>
      <w:r>
        <w:rPr>
          <w:rFonts w:ascii="Times New Roman" w:hAnsi="Times New Roman" w:eastAsia="宋体"/>
          <w:sz w:val="21"/>
        </w:rPr>
        <w:t>10. 文章查重要求：知网检索报告原则上低于20%，AI检索报告原则上低于30%；检测平台不限。</w:t>
      </w:r>
    </w:p>
    <w:p w14:paraId="6CA30DDE">
      <w:pPr>
        <w:spacing w:after="40" w:line="276" w:lineRule="auto"/>
        <w:ind w:left="360" w:hanging="360"/>
      </w:pPr>
      <w:r>
        <w:rPr>
          <w:rFonts w:ascii="Times New Roman" w:hAnsi="Times New Roman" w:eastAsia="宋体"/>
          <w:sz w:val="21"/>
        </w:rPr>
        <w:t>11. 文章如有课题或基金支持，建议尽量署明项目名称及基金号。</w:t>
      </w:r>
    </w:p>
    <w:p w14:paraId="706D2F70">
      <w:pPr>
        <w:spacing w:after="40" w:line="276" w:lineRule="auto"/>
        <w:ind w:left="360" w:hanging="360"/>
      </w:pPr>
      <w:r>
        <w:rPr>
          <w:rFonts w:ascii="Times New Roman" w:hAnsi="Times New Roman" w:eastAsia="宋体"/>
          <w:sz w:val="21"/>
        </w:rPr>
        <w:t>12. 所有文章均须提供利益冲突声明。</w:t>
      </w:r>
    </w:p>
    <w:p w14:paraId="60F08AD8">
      <w:pPr>
        <w:spacing w:before="100" w:after="60"/>
      </w:pPr>
      <w:r>
        <w:rPr>
          <w:rFonts w:ascii="Times New Roman" w:hAnsi="Times New Roman" w:eastAsia="宋体"/>
          <w:b/>
          <w:sz w:val="24"/>
        </w:rPr>
        <w:t>五、费用说明</w:t>
      </w:r>
    </w:p>
    <w:p w14:paraId="496FA38E">
      <w:pPr>
        <w:spacing w:after="40" w:line="276" w:lineRule="auto"/>
        <w:ind w:left="360" w:hanging="360"/>
      </w:pPr>
      <w:r>
        <w:rPr>
          <w:rFonts w:ascii="Times New Roman" w:hAnsi="Times New Roman" w:eastAsia="宋体"/>
          <w:sz w:val="21"/>
        </w:rPr>
        <w:t>1. 论文发表费用：2500元/篇。</w:t>
      </w:r>
    </w:p>
    <w:p w14:paraId="22BDA33E">
      <w:pPr>
        <w:spacing w:after="40" w:line="276" w:lineRule="auto"/>
        <w:ind w:left="360" w:hanging="360"/>
      </w:pPr>
      <w:r>
        <w:rPr>
          <w:rFonts w:ascii="Times New Roman" w:hAnsi="Times New Roman" w:eastAsia="宋体"/>
          <w:sz w:val="21"/>
        </w:rPr>
        <w:t>2. 参会人员可减免1000元，即按1500元/篇执行。</w:t>
      </w:r>
    </w:p>
    <w:p w14:paraId="19F8FE30">
      <w:pPr>
        <w:spacing w:after="40" w:line="276" w:lineRule="auto"/>
        <w:ind w:left="360" w:hanging="360"/>
      </w:pPr>
      <w:r>
        <w:rPr>
          <w:rFonts w:ascii="Times New Roman" w:hAnsi="Times New Roman" w:eastAsia="宋体"/>
          <w:sz w:val="21"/>
        </w:rPr>
        <w:t>3. 如需在知网可查阅到论文</w:t>
      </w:r>
      <w:r>
        <w:rPr>
          <w:rFonts w:hint="eastAsia"/>
          <w:sz w:val="21"/>
          <w:lang w:val="en-US" w:eastAsia="zh-CN"/>
        </w:rPr>
        <w:t>的</w:t>
      </w:r>
      <w:r>
        <w:rPr>
          <w:rFonts w:ascii="Times New Roman" w:hAnsi="Times New Roman" w:eastAsia="宋体"/>
          <w:sz w:val="21"/>
        </w:rPr>
        <w:t>完整信息，在原费用基础上增加500元。否则仅在期刊官网呈现全文，知网仅可查询到对应刊期信息。</w:t>
      </w:r>
    </w:p>
    <w:p w14:paraId="2B63B98F">
      <w:pPr>
        <w:spacing w:after="40" w:line="276" w:lineRule="auto"/>
        <w:ind w:left="360" w:hanging="360"/>
      </w:pPr>
      <w:r>
        <w:rPr>
          <w:rFonts w:ascii="Times New Roman" w:hAnsi="Times New Roman" w:eastAsia="宋体"/>
          <w:sz w:val="21"/>
        </w:rPr>
        <w:t>4. 如需纸质刊物，按100元/册收取。</w:t>
      </w:r>
    </w:p>
    <w:p w14:paraId="589B513C">
      <w:pPr>
        <w:spacing w:after="40" w:line="276" w:lineRule="auto"/>
        <w:ind w:left="360" w:hanging="360"/>
      </w:pPr>
      <w:r>
        <w:rPr>
          <w:rFonts w:ascii="Times New Roman" w:hAnsi="Times New Roman" w:eastAsia="宋体"/>
          <w:sz w:val="21"/>
        </w:rPr>
        <w:t>5. 文章经初审、编辑规范性审查及期刊审核通过后，方可进入录用及发表流程。</w:t>
      </w:r>
    </w:p>
    <w:p w14:paraId="61C941B7">
      <w:pPr>
        <w:spacing w:before="100" w:after="60"/>
      </w:pPr>
      <w:r>
        <w:rPr>
          <w:rFonts w:ascii="Times New Roman" w:hAnsi="Times New Roman" w:eastAsia="宋体"/>
          <w:b/>
          <w:sz w:val="24"/>
        </w:rPr>
        <w:t>六、投稿说明</w:t>
      </w:r>
    </w:p>
    <w:p w14:paraId="4418E960">
      <w:pPr>
        <w:spacing w:after="80" w:line="300" w:lineRule="auto"/>
        <w:ind w:firstLine="440"/>
      </w:pPr>
      <w:r>
        <w:rPr>
          <w:rFonts w:ascii="Times New Roman" w:hAnsi="Times New Roman" w:eastAsia="宋体"/>
          <w:sz w:val="22"/>
        </w:rPr>
        <w:t>请投稿作者按照英文期刊论文规范准备稿件，并确保文章内容真实、数据可靠、署名无争议、无一稿多投等学术不端行为。因名额有限，本次征稿将结合稿件质量、主题契合度、英文规范性和材料完整性择优推荐。</w:t>
      </w:r>
    </w:p>
    <w:p w14:paraId="594DC164">
      <w:pPr>
        <w:spacing w:after="80" w:line="300" w:lineRule="auto"/>
        <w:ind w:firstLine="440"/>
        <w:rPr>
          <w:rFonts w:ascii="Times New Roman" w:hAnsi="Times New Roman" w:eastAsia="宋体"/>
          <w:sz w:val="22"/>
        </w:rPr>
      </w:pPr>
      <w:r>
        <w:rPr>
          <w:rFonts w:ascii="Times New Roman" w:hAnsi="Times New Roman" w:eastAsia="宋体"/>
          <w:sz w:val="22"/>
        </w:rPr>
        <w:t>诚邀国内外专家学者、临床护理工作者、健康管理与养老服务领域从业人员踊跃投稿，共同推动健康照护、护理研究与养老服务创新发展。</w:t>
      </w:r>
    </w:p>
    <w:p w14:paraId="6F8BB544">
      <w:pPr>
        <w:spacing w:after="80" w:line="300" w:lineRule="auto"/>
        <w:ind w:firstLine="440"/>
        <w:rPr>
          <w:rFonts w:ascii="Times New Roman" w:hAnsi="Times New Roman" w:eastAsia="宋体"/>
          <w:sz w:val="22"/>
        </w:rPr>
      </w:pPr>
    </w:p>
    <w:p w14:paraId="768CBBD3">
      <w:pPr>
        <w:jc w:val="right"/>
      </w:pPr>
      <w:r>
        <w:rPr>
          <w:rFonts w:ascii="Times New Roman" w:hAnsi="Times New Roman" w:eastAsia="宋体"/>
          <w:sz w:val="22"/>
        </w:rPr>
        <w:t>上海建桥学院健康管理学院</w:t>
      </w:r>
    </w:p>
    <w:p w14:paraId="2692A3B2">
      <w:pPr>
        <w:jc w:val="right"/>
        <w:rPr>
          <w:rFonts w:ascii="Times New Roman" w:hAnsi="Times New Roman" w:eastAsia="宋体"/>
          <w:sz w:val="22"/>
        </w:rPr>
      </w:pPr>
      <w:r>
        <w:rPr>
          <w:rFonts w:ascii="Times New Roman" w:hAnsi="Times New Roman" w:eastAsia="宋体"/>
          <w:sz w:val="22"/>
        </w:rPr>
        <w:t>2026年</w:t>
      </w:r>
    </w:p>
    <w:p w14:paraId="68E27A7F">
      <w:pPr>
        <w:rPr>
          <w:rFonts w:ascii="Times New Roman" w:hAnsi="Times New Roman" w:eastAsia="宋体"/>
          <w:sz w:val="22"/>
        </w:rPr>
      </w:pPr>
      <w:r>
        <w:rPr>
          <w:rFonts w:ascii="Times New Roman" w:hAnsi="Times New Roman" w:eastAsia="宋体"/>
          <w:sz w:val="22"/>
        </w:rPr>
        <w:br w:type="page"/>
      </w:r>
    </w:p>
    <w:p w14:paraId="5D6C0900">
      <w:pPr>
        <w:spacing w:before="240" w:after="100"/>
        <w:jc w:val="center"/>
        <w:rPr>
          <w:sz w:val="24"/>
          <w:szCs w:val="24"/>
        </w:rPr>
      </w:pPr>
      <w:r>
        <w:rPr>
          <w:rFonts w:ascii="Times New Roman" w:hAnsi="Times New Roman" w:eastAsia="宋体"/>
          <w:b/>
          <w:sz w:val="36"/>
          <w:szCs w:val="24"/>
        </w:rPr>
        <w:t>Call for Papers</w:t>
      </w:r>
    </w:p>
    <w:p w14:paraId="47B4F12C">
      <w:pPr>
        <w:spacing w:before="0" w:after="100"/>
        <w:jc w:val="center"/>
        <w:rPr>
          <w:sz w:val="24"/>
          <w:szCs w:val="24"/>
        </w:rPr>
      </w:pPr>
      <w:r>
        <w:rPr>
          <w:rFonts w:ascii="Times New Roman" w:hAnsi="Times New Roman" w:eastAsia="宋体"/>
          <w:b/>
          <w:sz w:val="32"/>
          <w:szCs w:val="24"/>
        </w:rPr>
        <w:t>Journal of Clinical and Nursing Research</w:t>
      </w:r>
    </w:p>
    <w:p w14:paraId="1ABEC505">
      <w:pPr>
        <w:keepNext w:val="0"/>
        <w:keepLines w:val="0"/>
        <w:pageBreakBefore w:val="0"/>
        <w:widowControl/>
        <w:kinsoku/>
        <w:wordWrap/>
        <w:overflowPunct/>
        <w:topLinePunct w:val="0"/>
        <w:autoSpaceDE/>
        <w:autoSpaceDN/>
        <w:bidi w:val="0"/>
        <w:adjustRightInd/>
        <w:snapToGrid/>
        <w:spacing w:after="80" w:line="300" w:lineRule="auto"/>
        <w:ind w:firstLine="440" w:firstLineChars="200"/>
        <w:textAlignment w:val="auto"/>
        <w:rPr>
          <w:rFonts w:hint="eastAsia" w:eastAsia="宋体"/>
          <w:sz w:val="28"/>
          <w:szCs w:val="28"/>
          <w:lang w:val="en-US" w:eastAsia="zh-CN"/>
        </w:rPr>
      </w:pPr>
      <w:r>
        <w:rPr>
          <w:rFonts w:ascii="Times New Roman" w:hAnsi="Times New Roman" w:eastAsia="宋体"/>
          <w:sz w:val="22"/>
          <w:szCs w:val="28"/>
        </w:rPr>
        <w:t>To respond to the growing needs brought by global population aging, chronic disease management, and the transformation of health-care services, the Journal of Clinical and Nursing Research invites English-language submissions from scholars, clinical nurses, health management professionals, and elderly care practitioners worldwide.</w:t>
      </w:r>
    </w:p>
    <w:p w14:paraId="3AD0B058">
      <w:pPr>
        <w:keepNext w:val="0"/>
        <w:keepLines w:val="0"/>
        <w:pageBreakBefore w:val="0"/>
        <w:widowControl/>
        <w:kinsoku/>
        <w:wordWrap/>
        <w:overflowPunct/>
        <w:topLinePunct w:val="0"/>
        <w:autoSpaceDE/>
        <w:autoSpaceDN/>
        <w:bidi w:val="0"/>
        <w:adjustRightInd/>
        <w:snapToGrid/>
        <w:spacing w:after="80" w:line="300" w:lineRule="auto"/>
        <w:ind w:firstLine="440" w:firstLineChars="200"/>
        <w:textAlignment w:val="auto"/>
        <w:rPr>
          <w:sz w:val="28"/>
          <w:szCs w:val="28"/>
        </w:rPr>
      </w:pPr>
      <w:r>
        <w:rPr>
          <w:rFonts w:ascii="Times New Roman" w:hAnsi="Times New Roman" w:eastAsia="宋体"/>
          <w:sz w:val="22"/>
          <w:szCs w:val="28"/>
        </w:rPr>
        <w:t>This call for papers is connected with the 2026 International Forum on Intelligent Innovation and Development in Health Management, Nursing, and Senior Care. Under the theme “Intelligent Integration, Warm Care: Frontier Research and Educational Transformation in Health Care under the Digital-Intelligence Context,” the forum aims to promote academic exchange, educational reform, and practical innovation in health management, nursing, senior care, and related health industries.</w:t>
      </w:r>
    </w:p>
    <w:p w14:paraId="530A8D9A">
      <w:pPr>
        <w:spacing w:before="100" w:after="60"/>
        <w:rPr>
          <w:sz w:val="28"/>
          <w:szCs w:val="28"/>
        </w:rPr>
      </w:pPr>
      <w:r>
        <w:rPr>
          <w:rFonts w:ascii="Times New Roman" w:hAnsi="Times New Roman" w:eastAsia="宋体"/>
          <w:b/>
          <w:sz w:val="32"/>
          <w:szCs w:val="28"/>
        </w:rPr>
        <w:t>I. Journal Information</w:t>
      </w:r>
    </w:p>
    <w:p w14:paraId="01E03E53">
      <w:pPr>
        <w:spacing w:after="40" w:line="276" w:lineRule="auto"/>
        <w:ind w:left="360" w:hanging="360"/>
        <w:rPr>
          <w:sz w:val="28"/>
          <w:szCs w:val="28"/>
        </w:rPr>
      </w:pPr>
      <w:r>
        <w:rPr>
          <w:rFonts w:ascii="Times New Roman" w:hAnsi="Times New Roman" w:eastAsia="宋体"/>
          <w:sz w:val="21"/>
          <w:szCs w:val="28"/>
        </w:rPr>
        <w:t>1. Journal title: Journal of Clinical and Nursing Research</w:t>
      </w:r>
    </w:p>
    <w:p w14:paraId="638AEEDC">
      <w:pPr>
        <w:spacing w:after="40" w:line="276" w:lineRule="auto"/>
        <w:ind w:left="360" w:hanging="360"/>
        <w:rPr>
          <w:sz w:val="28"/>
          <w:szCs w:val="28"/>
        </w:rPr>
      </w:pPr>
      <w:r>
        <w:rPr>
          <w:rFonts w:ascii="Times New Roman" w:hAnsi="Times New Roman" w:eastAsia="宋体"/>
          <w:sz w:val="21"/>
          <w:szCs w:val="28"/>
        </w:rPr>
        <w:t>2. Website: https://ojs.bbwpublisher.com/index.php/JCNR</w:t>
      </w:r>
    </w:p>
    <w:p w14:paraId="766D9E1A">
      <w:pPr>
        <w:spacing w:after="40" w:line="276" w:lineRule="auto"/>
        <w:ind w:left="360" w:hanging="360"/>
        <w:rPr>
          <w:sz w:val="28"/>
          <w:szCs w:val="28"/>
        </w:rPr>
      </w:pPr>
      <w:r>
        <w:rPr>
          <w:rFonts w:ascii="Times New Roman" w:hAnsi="Times New Roman" w:eastAsia="宋体"/>
          <w:sz w:val="21"/>
          <w:szCs w:val="28"/>
        </w:rPr>
        <w:t>3. Publisher: Bio-Byword Scientific Publishing</w:t>
      </w:r>
    </w:p>
    <w:p w14:paraId="39F239B4">
      <w:pPr>
        <w:spacing w:after="40" w:line="276" w:lineRule="auto"/>
        <w:ind w:left="360" w:hanging="360"/>
        <w:rPr>
          <w:rFonts w:ascii="Times New Roman" w:hAnsi="Times New Roman" w:eastAsia="宋体"/>
          <w:sz w:val="21"/>
          <w:szCs w:val="28"/>
        </w:rPr>
      </w:pPr>
      <w:r>
        <w:rPr>
          <w:rFonts w:ascii="Times New Roman" w:hAnsi="Times New Roman" w:eastAsia="宋体"/>
          <w:sz w:val="21"/>
          <w:szCs w:val="28"/>
        </w:rPr>
        <w:t>4. Submission type: English-language journal article</w:t>
      </w:r>
    </w:p>
    <w:p w14:paraId="42A2E585">
      <w:pPr>
        <w:spacing w:after="40" w:line="276" w:lineRule="auto"/>
        <w:ind w:left="360" w:hanging="360"/>
        <w:rPr>
          <w:rFonts w:hint="eastAsia" w:ascii="Times New Roman" w:hAnsi="Times New Roman" w:eastAsia="宋体"/>
          <w:sz w:val="21"/>
          <w:szCs w:val="28"/>
        </w:rPr>
      </w:pPr>
      <w:r>
        <w:rPr>
          <w:rFonts w:hint="eastAsia"/>
          <w:sz w:val="21"/>
          <w:szCs w:val="28"/>
          <w:lang w:val="en-US" w:eastAsia="zh-CN"/>
        </w:rPr>
        <w:t xml:space="preserve">5. </w:t>
      </w:r>
      <w:r>
        <w:rPr>
          <w:rFonts w:hint="eastAsia" w:ascii="Times New Roman" w:hAnsi="Times New Roman" w:eastAsia="宋体"/>
          <w:sz w:val="21"/>
          <w:szCs w:val="28"/>
        </w:rPr>
        <w:t xml:space="preserve">Deadline: November </w:t>
      </w:r>
      <w:r>
        <w:rPr>
          <w:rFonts w:hint="eastAsia"/>
          <w:sz w:val="21"/>
          <w:szCs w:val="28"/>
          <w:lang w:val="en-US" w:eastAsia="zh-CN"/>
        </w:rPr>
        <w:t>1</w:t>
      </w:r>
      <w:r>
        <w:rPr>
          <w:rFonts w:hint="eastAsia" w:ascii="Times New Roman" w:hAnsi="Times New Roman" w:eastAsia="宋体"/>
          <w:sz w:val="21"/>
          <w:szCs w:val="28"/>
        </w:rPr>
        <w:t>5, 2026</w:t>
      </w:r>
    </w:p>
    <w:p w14:paraId="02379A93">
      <w:pPr>
        <w:spacing w:after="40" w:line="276" w:lineRule="auto"/>
        <w:ind w:left="360" w:hanging="360"/>
        <w:rPr>
          <w:rFonts w:hint="eastAsia" w:ascii="Times New Roman" w:hAnsi="Times New Roman" w:eastAsia="宋体"/>
          <w:sz w:val="21"/>
          <w:szCs w:val="28"/>
        </w:rPr>
      </w:pPr>
      <w:r>
        <w:rPr>
          <w:rFonts w:hint="eastAsia"/>
          <w:sz w:val="21"/>
          <w:szCs w:val="28"/>
          <w:lang w:val="en-US" w:eastAsia="zh-CN"/>
        </w:rPr>
        <w:t>6</w:t>
      </w:r>
      <w:r>
        <w:rPr>
          <w:rFonts w:hint="eastAsia" w:ascii="Times New Roman" w:hAnsi="Times New Roman" w:eastAsia="宋体"/>
          <w:sz w:val="21"/>
          <w:szCs w:val="28"/>
        </w:rPr>
        <w:t>. Submission Email:22608@gench.edu.cn</w:t>
      </w:r>
    </w:p>
    <w:p w14:paraId="43B256AA">
      <w:pPr>
        <w:spacing w:after="40" w:line="276" w:lineRule="auto"/>
        <w:ind w:left="360" w:hanging="360"/>
        <w:rPr>
          <w:rFonts w:hint="eastAsia" w:ascii="Times New Roman" w:hAnsi="Times New Roman" w:eastAsia="宋体"/>
          <w:sz w:val="21"/>
          <w:szCs w:val="28"/>
        </w:rPr>
      </w:pPr>
      <w:r>
        <w:rPr>
          <w:rFonts w:hint="eastAsia" w:ascii="Times New Roman" w:hAnsi="Times New Roman" w:eastAsia="宋体"/>
          <w:sz w:val="21"/>
          <w:szCs w:val="28"/>
        </w:rPr>
        <w:t>Please use the following email subject format:</w:t>
      </w:r>
    </w:p>
    <w:p w14:paraId="4548C045">
      <w:pPr>
        <w:spacing w:after="40" w:line="276" w:lineRule="auto"/>
        <w:ind w:left="360" w:hanging="360"/>
        <w:rPr>
          <w:rFonts w:hint="eastAsia" w:ascii="Times New Roman" w:hAnsi="Times New Roman" w:eastAsia="宋体"/>
          <w:sz w:val="21"/>
          <w:szCs w:val="28"/>
        </w:rPr>
      </w:pPr>
      <w:r>
        <w:rPr>
          <w:rFonts w:hint="eastAsia" w:ascii="Times New Roman" w:hAnsi="Times New Roman" w:eastAsia="宋体"/>
          <w:sz w:val="21"/>
          <w:szCs w:val="28"/>
        </w:rPr>
        <w:t>Submission Topic (1/2/3/4/5/6) + Paper Title</w:t>
      </w:r>
      <w:bookmarkStart w:id="0" w:name="_GoBack"/>
      <w:bookmarkEnd w:id="0"/>
    </w:p>
    <w:p w14:paraId="20F61280">
      <w:pPr>
        <w:spacing w:after="40" w:line="276" w:lineRule="auto"/>
        <w:ind w:left="360" w:hanging="360"/>
        <w:rPr>
          <w:rFonts w:hint="eastAsia" w:ascii="Times New Roman" w:hAnsi="Times New Roman" w:eastAsia="宋体"/>
          <w:sz w:val="21"/>
          <w:szCs w:val="28"/>
        </w:rPr>
      </w:pPr>
      <w:r>
        <w:rPr>
          <w:rFonts w:hint="eastAsia"/>
          <w:sz w:val="21"/>
          <w:szCs w:val="28"/>
          <w:lang w:val="en-US" w:eastAsia="zh-CN"/>
        </w:rPr>
        <w:t>7</w:t>
      </w:r>
      <w:r>
        <w:rPr>
          <w:rFonts w:hint="eastAsia" w:ascii="Times New Roman" w:hAnsi="Times New Roman" w:eastAsia="宋体"/>
          <w:sz w:val="21"/>
          <w:szCs w:val="28"/>
        </w:rPr>
        <w:t>. Contact:Mr. Gao, Tel: +86 187-1796-8927</w:t>
      </w:r>
    </w:p>
    <w:p w14:paraId="2205941B">
      <w:pPr>
        <w:spacing w:before="100" w:after="60"/>
        <w:rPr>
          <w:sz w:val="28"/>
          <w:szCs w:val="28"/>
        </w:rPr>
      </w:pPr>
      <w:r>
        <w:rPr>
          <w:rFonts w:ascii="Times New Roman" w:hAnsi="Times New Roman" w:eastAsia="宋体"/>
          <w:b/>
          <w:sz w:val="32"/>
          <w:szCs w:val="28"/>
        </w:rPr>
        <w:t>II. Suggested Topics</w:t>
      </w:r>
    </w:p>
    <w:p w14:paraId="08EA18F2">
      <w:pPr>
        <w:spacing w:after="40" w:line="276" w:lineRule="auto"/>
        <w:ind w:left="360" w:hanging="360"/>
        <w:rPr>
          <w:sz w:val="28"/>
          <w:szCs w:val="28"/>
        </w:rPr>
      </w:pPr>
      <w:r>
        <w:rPr>
          <w:rFonts w:ascii="Times New Roman" w:hAnsi="Times New Roman" w:eastAsia="宋体"/>
          <w:sz w:val="21"/>
          <w:szCs w:val="28"/>
        </w:rPr>
        <w:t>1. New models of health management, nursing, and elderly care under the digital-intelligence context;</w:t>
      </w:r>
    </w:p>
    <w:p w14:paraId="308961D0">
      <w:pPr>
        <w:spacing w:after="40" w:line="276" w:lineRule="auto"/>
        <w:ind w:left="360" w:hanging="360"/>
        <w:rPr>
          <w:sz w:val="28"/>
          <w:szCs w:val="28"/>
        </w:rPr>
      </w:pPr>
      <w:r>
        <w:rPr>
          <w:rFonts w:ascii="Times New Roman" w:hAnsi="Times New Roman" w:eastAsia="宋体"/>
          <w:sz w:val="21"/>
          <w:szCs w:val="28"/>
        </w:rPr>
        <w:t>2. Clinical nursing, community nursing, geriatric nursing, and long-term care;</w:t>
      </w:r>
    </w:p>
    <w:p w14:paraId="7BBD1DF7">
      <w:pPr>
        <w:spacing w:after="40" w:line="276" w:lineRule="auto"/>
        <w:ind w:left="360" w:hanging="360"/>
        <w:rPr>
          <w:sz w:val="28"/>
          <w:szCs w:val="28"/>
        </w:rPr>
      </w:pPr>
      <w:r>
        <w:rPr>
          <w:rFonts w:ascii="Times New Roman" w:hAnsi="Times New Roman" w:eastAsia="宋体"/>
          <w:sz w:val="21"/>
          <w:szCs w:val="28"/>
        </w:rPr>
        <w:t>3. Smart health, smart elderly care, telecare, and digital management tools in health care;</w:t>
      </w:r>
    </w:p>
    <w:p w14:paraId="5C24C4D2">
      <w:pPr>
        <w:spacing w:after="40" w:line="276" w:lineRule="auto"/>
        <w:ind w:left="360" w:hanging="360"/>
        <w:rPr>
          <w:sz w:val="28"/>
          <w:szCs w:val="28"/>
        </w:rPr>
      </w:pPr>
      <w:r>
        <w:rPr>
          <w:rFonts w:ascii="Times New Roman" w:hAnsi="Times New Roman" w:eastAsia="宋体"/>
          <w:sz w:val="21"/>
          <w:szCs w:val="28"/>
        </w:rPr>
        <w:t>4. Chronic disease management, active health, rehabilitation nursing, palliative care, and health promotion;</w:t>
      </w:r>
    </w:p>
    <w:p w14:paraId="5A32DBF8">
      <w:pPr>
        <w:spacing w:after="40" w:line="276" w:lineRule="auto"/>
        <w:ind w:left="360" w:hanging="360"/>
        <w:rPr>
          <w:sz w:val="28"/>
          <w:szCs w:val="28"/>
        </w:rPr>
      </w:pPr>
      <w:r>
        <w:rPr>
          <w:rFonts w:ascii="Times New Roman" w:hAnsi="Times New Roman" w:eastAsia="宋体"/>
          <w:sz w:val="21"/>
          <w:szCs w:val="28"/>
        </w:rPr>
        <w:t>5. Education reform, curriculum development, and practical teaching in nursing and health management;</w:t>
      </w:r>
    </w:p>
    <w:p w14:paraId="25DA6BC0">
      <w:pPr>
        <w:spacing w:after="40" w:line="276" w:lineRule="auto"/>
        <w:ind w:left="360" w:hanging="360"/>
        <w:rPr>
          <w:sz w:val="28"/>
          <w:szCs w:val="28"/>
        </w:rPr>
      </w:pPr>
      <w:r>
        <w:rPr>
          <w:rFonts w:ascii="Times New Roman" w:hAnsi="Times New Roman" w:eastAsia="宋体"/>
          <w:sz w:val="21"/>
          <w:szCs w:val="28"/>
        </w:rPr>
        <w:t>6. Comparative studies on international care models and senior care systems;</w:t>
      </w:r>
    </w:p>
    <w:p w14:paraId="5ADD86DF">
      <w:pPr>
        <w:spacing w:before="100" w:after="60"/>
        <w:rPr>
          <w:sz w:val="28"/>
          <w:szCs w:val="28"/>
        </w:rPr>
      </w:pPr>
      <w:r>
        <w:rPr>
          <w:rFonts w:ascii="Times New Roman" w:hAnsi="Times New Roman" w:eastAsia="宋体"/>
          <w:b/>
          <w:sz w:val="32"/>
          <w:szCs w:val="28"/>
        </w:rPr>
        <w:t>III. Submission Requirements</w:t>
      </w:r>
    </w:p>
    <w:p w14:paraId="66D6BAD1">
      <w:pPr>
        <w:spacing w:after="40" w:line="276" w:lineRule="auto"/>
        <w:ind w:left="360" w:hanging="360"/>
        <w:rPr>
          <w:sz w:val="28"/>
          <w:szCs w:val="28"/>
        </w:rPr>
      </w:pPr>
      <w:r>
        <w:rPr>
          <w:rFonts w:ascii="Times New Roman" w:hAnsi="Times New Roman" w:eastAsia="宋体"/>
          <w:sz w:val="21"/>
          <w:szCs w:val="28"/>
        </w:rPr>
        <w:t>1. Word count: 2,500-3,000 English words. For case reports, the length may be adjusted according to the content.</w:t>
      </w:r>
    </w:p>
    <w:p w14:paraId="2BF2CDB4">
      <w:pPr>
        <w:spacing w:after="40" w:line="276" w:lineRule="auto"/>
        <w:ind w:left="360" w:hanging="360"/>
        <w:rPr>
          <w:sz w:val="28"/>
          <w:szCs w:val="28"/>
        </w:rPr>
      </w:pPr>
      <w:r>
        <w:rPr>
          <w:rFonts w:ascii="Times New Roman" w:hAnsi="Times New Roman" w:eastAsia="宋体"/>
          <w:sz w:val="21"/>
          <w:szCs w:val="28"/>
        </w:rPr>
        <w:t>2. The topic should fit the journal scope and focus on clinical nursing, health management, elderly care, nursing education, public health, rehabilitation care, chronic disease management, or related fields.</w:t>
      </w:r>
    </w:p>
    <w:p w14:paraId="6271C243">
      <w:pPr>
        <w:spacing w:after="40" w:line="276" w:lineRule="auto"/>
        <w:ind w:left="360" w:hanging="360"/>
        <w:rPr>
          <w:sz w:val="28"/>
          <w:szCs w:val="28"/>
        </w:rPr>
      </w:pPr>
      <w:r>
        <w:rPr>
          <w:rFonts w:ascii="Times New Roman" w:hAnsi="Times New Roman" w:eastAsia="宋体"/>
          <w:sz w:val="21"/>
          <w:szCs w:val="28"/>
        </w:rPr>
        <w:t>3. The language should be clear, readable, and natural. Manuscripts should avoid mechanical translation.</w:t>
      </w:r>
    </w:p>
    <w:p w14:paraId="4FD7F486">
      <w:pPr>
        <w:spacing w:after="40" w:line="276" w:lineRule="auto"/>
        <w:ind w:left="360" w:hanging="360"/>
        <w:rPr>
          <w:sz w:val="28"/>
          <w:szCs w:val="28"/>
        </w:rPr>
      </w:pPr>
      <w:r>
        <w:rPr>
          <w:rFonts w:ascii="Times New Roman" w:hAnsi="Times New Roman" w:eastAsia="宋体"/>
          <w:sz w:val="21"/>
          <w:szCs w:val="28"/>
        </w:rPr>
        <w:t>4. References: 10-20 references are recommended, preferably published within the past five years. For case reports, 5-15 references are acceptable.</w:t>
      </w:r>
    </w:p>
    <w:p w14:paraId="7153B746">
      <w:pPr>
        <w:spacing w:after="40" w:line="276" w:lineRule="auto"/>
        <w:ind w:left="360" w:hanging="360"/>
        <w:rPr>
          <w:sz w:val="28"/>
          <w:szCs w:val="28"/>
        </w:rPr>
      </w:pPr>
      <w:r>
        <w:rPr>
          <w:rFonts w:ascii="Times New Roman" w:hAnsi="Times New Roman" w:eastAsia="宋体"/>
          <w:sz w:val="21"/>
          <w:szCs w:val="28"/>
        </w:rPr>
        <w:t>5. A complete manuscript should include title, author information, abstract, keywords, main text, conflict of interest statement, funding information if applicable, and references.</w:t>
      </w:r>
    </w:p>
    <w:p w14:paraId="121E16BE">
      <w:pPr>
        <w:spacing w:after="40" w:line="276" w:lineRule="auto"/>
        <w:ind w:left="360" w:hanging="360"/>
        <w:rPr>
          <w:sz w:val="28"/>
          <w:szCs w:val="28"/>
        </w:rPr>
      </w:pPr>
      <w:r>
        <w:rPr>
          <w:rFonts w:ascii="Times New Roman" w:hAnsi="Times New Roman" w:eastAsia="宋体"/>
          <w:sz w:val="21"/>
          <w:szCs w:val="28"/>
        </w:rPr>
        <w:t>6. In-text citations should use numbered citation style, such as [1] and [2].</w:t>
      </w:r>
    </w:p>
    <w:p w14:paraId="690BBF0B">
      <w:pPr>
        <w:spacing w:after="40" w:line="276" w:lineRule="auto"/>
        <w:ind w:left="360" w:hanging="360"/>
        <w:rPr>
          <w:sz w:val="28"/>
          <w:szCs w:val="28"/>
        </w:rPr>
      </w:pPr>
      <w:r>
        <w:rPr>
          <w:rFonts w:ascii="Times New Roman" w:hAnsi="Times New Roman" w:eastAsia="宋体"/>
          <w:sz w:val="21"/>
          <w:szCs w:val="28"/>
        </w:rPr>
        <w:t>7. Journal references should include author names, year, article title, journal title, volume(issue), page range, and DOI or article ID. For multiple authors, at least the first three authors should be listed.</w:t>
      </w:r>
    </w:p>
    <w:p w14:paraId="45B6ACB7">
      <w:pPr>
        <w:spacing w:after="40" w:line="276" w:lineRule="auto"/>
        <w:ind w:left="360" w:hanging="360"/>
        <w:rPr>
          <w:sz w:val="28"/>
          <w:szCs w:val="28"/>
        </w:rPr>
      </w:pPr>
      <w:r>
        <w:rPr>
          <w:rFonts w:ascii="Times New Roman" w:hAnsi="Times New Roman" w:eastAsia="宋体"/>
          <w:sz w:val="21"/>
          <w:szCs w:val="28"/>
        </w:rPr>
        <w:t>8. Online references should include a valid URL, website name, and the author’s access date in the format of year, month, and day (viewed date).</w:t>
      </w:r>
    </w:p>
    <w:p w14:paraId="56FAC3C2">
      <w:pPr>
        <w:spacing w:after="40" w:line="276" w:lineRule="auto"/>
        <w:ind w:left="360" w:hanging="360"/>
        <w:rPr>
          <w:sz w:val="28"/>
          <w:szCs w:val="28"/>
        </w:rPr>
      </w:pPr>
      <w:r>
        <w:rPr>
          <w:rFonts w:ascii="Times New Roman" w:hAnsi="Times New Roman" w:eastAsia="宋体"/>
          <w:sz w:val="21"/>
          <w:szCs w:val="28"/>
        </w:rPr>
        <w:t>9. Book references should include author name, year, book title, place of publication, and publisher.</w:t>
      </w:r>
    </w:p>
    <w:p w14:paraId="34BC5FAC">
      <w:pPr>
        <w:spacing w:after="40" w:line="276" w:lineRule="auto"/>
        <w:ind w:left="360" w:hanging="360"/>
        <w:rPr>
          <w:sz w:val="28"/>
          <w:szCs w:val="28"/>
        </w:rPr>
      </w:pPr>
      <w:r>
        <w:rPr>
          <w:rFonts w:ascii="Times New Roman" w:hAnsi="Times New Roman" w:eastAsia="宋体"/>
          <w:sz w:val="21"/>
          <w:szCs w:val="28"/>
        </w:rPr>
        <w:t>10. Similarity and AI detection: the CNKI similarity report should generally be below 20%, and the AI detection report should generally be below 30%. Reports from different platforms may be accepted.</w:t>
      </w:r>
    </w:p>
    <w:p w14:paraId="52067B7D">
      <w:pPr>
        <w:spacing w:after="40" w:line="276" w:lineRule="auto"/>
        <w:ind w:left="360" w:hanging="360"/>
        <w:rPr>
          <w:sz w:val="28"/>
          <w:szCs w:val="28"/>
        </w:rPr>
      </w:pPr>
      <w:r>
        <w:rPr>
          <w:rFonts w:ascii="Times New Roman" w:hAnsi="Times New Roman" w:eastAsia="宋体"/>
          <w:sz w:val="21"/>
          <w:szCs w:val="28"/>
        </w:rPr>
        <w:t>11. If the study is supported by a project or fund, the project title and grant number should be provided whenever possible.</w:t>
      </w:r>
    </w:p>
    <w:p w14:paraId="09DFB8BF">
      <w:pPr>
        <w:spacing w:after="40" w:line="276" w:lineRule="auto"/>
        <w:ind w:left="360" w:hanging="360"/>
        <w:rPr>
          <w:sz w:val="28"/>
          <w:szCs w:val="28"/>
        </w:rPr>
      </w:pPr>
      <w:r>
        <w:rPr>
          <w:rFonts w:ascii="Times New Roman" w:hAnsi="Times New Roman" w:eastAsia="宋体"/>
          <w:sz w:val="21"/>
          <w:szCs w:val="28"/>
        </w:rPr>
        <w:t>12. A conflict of interest statement is required for all manuscripts.</w:t>
      </w:r>
    </w:p>
    <w:p w14:paraId="0EAFF19E">
      <w:pPr>
        <w:spacing w:before="100" w:after="60"/>
        <w:rPr>
          <w:sz w:val="28"/>
          <w:szCs w:val="28"/>
        </w:rPr>
      </w:pPr>
      <w:r>
        <w:rPr>
          <w:rFonts w:ascii="Times New Roman" w:hAnsi="Times New Roman" w:eastAsia="宋体"/>
          <w:b/>
          <w:sz w:val="32"/>
          <w:szCs w:val="28"/>
        </w:rPr>
        <w:t>IV. Publication Fees</w:t>
      </w:r>
    </w:p>
    <w:p w14:paraId="3253ACCF">
      <w:pPr>
        <w:spacing w:after="40" w:line="276" w:lineRule="auto"/>
        <w:ind w:left="360" w:hanging="360"/>
        <w:rPr>
          <w:sz w:val="28"/>
          <w:szCs w:val="28"/>
        </w:rPr>
      </w:pPr>
      <w:r>
        <w:rPr>
          <w:rFonts w:ascii="Times New Roman" w:hAnsi="Times New Roman" w:eastAsia="宋体"/>
          <w:sz w:val="21"/>
          <w:szCs w:val="28"/>
        </w:rPr>
        <w:t>1. Standard publication fee: 2,500 CNY per article.</w:t>
      </w:r>
    </w:p>
    <w:p w14:paraId="01481AF2">
      <w:pPr>
        <w:spacing w:after="40" w:line="276" w:lineRule="auto"/>
        <w:ind w:left="360" w:hanging="360"/>
        <w:rPr>
          <w:sz w:val="28"/>
          <w:szCs w:val="28"/>
        </w:rPr>
      </w:pPr>
      <w:r>
        <w:rPr>
          <w:rFonts w:ascii="Times New Roman" w:hAnsi="Times New Roman" w:eastAsia="宋体"/>
          <w:sz w:val="21"/>
          <w:szCs w:val="28"/>
        </w:rPr>
        <w:t>2. Participants of the forum may receive a 1,000 CNY discount; the discounted fee is 1,500 CNY per article.</w:t>
      </w:r>
    </w:p>
    <w:p w14:paraId="5D56979E">
      <w:pPr>
        <w:spacing w:after="40" w:line="276" w:lineRule="auto"/>
        <w:ind w:left="360" w:hanging="360"/>
        <w:rPr>
          <w:sz w:val="28"/>
          <w:szCs w:val="28"/>
        </w:rPr>
      </w:pPr>
      <w:r>
        <w:rPr>
          <w:rFonts w:ascii="Times New Roman" w:hAnsi="Times New Roman" w:eastAsia="宋体"/>
          <w:sz w:val="21"/>
          <w:szCs w:val="28"/>
        </w:rPr>
        <w:t>3. If the author requires the complete information of the article to be searchable in CNKI, an additional 500 CNY will be charged. Otherwise, the full text may be displayed only on the journal website, while CNKI may show only the issue-level information.</w:t>
      </w:r>
    </w:p>
    <w:p w14:paraId="44AA1D49">
      <w:pPr>
        <w:spacing w:after="40" w:line="276" w:lineRule="auto"/>
        <w:ind w:left="360" w:hanging="360"/>
        <w:rPr>
          <w:sz w:val="28"/>
          <w:szCs w:val="28"/>
        </w:rPr>
      </w:pPr>
      <w:r>
        <w:rPr>
          <w:rFonts w:ascii="Times New Roman" w:hAnsi="Times New Roman" w:eastAsia="宋体"/>
          <w:sz w:val="21"/>
          <w:szCs w:val="28"/>
        </w:rPr>
        <w:t>4. Printed copies are available at 100 CNY per copy.</w:t>
      </w:r>
    </w:p>
    <w:p w14:paraId="2150846F">
      <w:pPr>
        <w:spacing w:after="40" w:line="276" w:lineRule="auto"/>
        <w:ind w:left="360" w:hanging="360"/>
        <w:rPr>
          <w:sz w:val="28"/>
          <w:szCs w:val="28"/>
        </w:rPr>
      </w:pPr>
      <w:r>
        <w:rPr>
          <w:rFonts w:ascii="Times New Roman" w:hAnsi="Times New Roman" w:eastAsia="宋体"/>
          <w:sz w:val="21"/>
          <w:szCs w:val="28"/>
        </w:rPr>
        <w:t>5. Manuscripts will proceed to acceptance and publication only after preliminary review, editorial format review, and journal approval.</w:t>
      </w:r>
    </w:p>
    <w:p w14:paraId="4D86E6BA">
      <w:pPr>
        <w:spacing w:before="100" w:after="60"/>
        <w:rPr>
          <w:sz w:val="28"/>
          <w:szCs w:val="28"/>
        </w:rPr>
      </w:pPr>
      <w:r>
        <w:rPr>
          <w:rFonts w:ascii="Times New Roman" w:hAnsi="Times New Roman" w:eastAsia="宋体"/>
          <w:b/>
          <w:sz w:val="32"/>
          <w:szCs w:val="28"/>
        </w:rPr>
        <w:t>V. Notes for Authors</w:t>
      </w:r>
    </w:p>
    <w:p w14:paraId="7F175B87">
      <w:pPr>
        <w:keepNext w:val="0"/>
        <w:keepLines w:val="0"/>
        <w:pageBreakBefore w:val="0"/>
        <w:widowControl/>
        <w:kinsoku/>
        <w:wordWrap/>
        <w:overflowPunct/>
        <w:topLinePunct w:val="0"/>
        <w:autoSpaceDE/>
        <w:autoSpaceDN/>
        <w:bidi w:val="0"/>
        <w:adjustRightInd/>
        <w:snapToGrid/>
        <w:spacing w:after="80" w:line="300" w:lineRule="auto"/>
        <w:ind w:firstLine="440" w:firstLineChars="200"/>
        <w:textAlignment w:val="auto"/>
        <w:rPr>
          <w:rFonts w:ascii="Times New Roman" w:hAnsi="Times New Roman" w:eastAsia="宋体"/>
          <w:sz w:val="22"/>
          <w:szCs w:val="28"/>
        </w:rPr>
      </w:pPr>
      <w:r>
        <w:rPr>
          <w:rFonts w:ascii="Times New Roman" w:hAnsi="Times New Roman" w:eastAsia="宋体"/>
          <w:sz w:val="22"/>
          <w:szCs w:val="28"/>
        </w:rPr>
        <w:t>Authors should prepare manuscripts according to standard English journal article requirements and ensure that the research is authentic, the data are reliable, the authorship is undisputed, and the manuscript has not been submitted elsewhere at the same time.</w:t>
      </w:r>
    </w:p>
    <w:p w14:paraId="0396C598">
      <w:pPr>
        <w:keepNext w:val="0"/>
        <w:keepLines w:val="0"/>
        <w:pageBreakBefore w:val="0"/>
        <w:widowControl/>
        <w:kinsoku/>
        <w:wordWrap/>
        <w:overflowPunct/>
        <w:topLinePunct w:val="0"/>
        <w:autoSpaceDE/>
        <w:autoSpaceDN/>
        <w:bidi w:val="0"/>
        <w:adjustRightInd/>
        <w:snapToGrid/>
        <w:spacing w:after="80" w:line="300" w:lineRule="auto"/>
        <w:ind w:firstLine="440" w:firstLineChars="200"/>
        <w:textAlignment w:val="auto"/>
        <w:rPr>
          <w:rFonts w:ascii="Times New Roman" w:hAnsi="Times New Roman" w:eastAsia="宋体"/>
          <w:sz w:val="22"/>
          <w:szCs w:val="28"/>
        </w:rPr>
      </w:pPr>
      <w:r>
        <w:rPr>
          <w:rFonts w:ascii="Times New Roman" w:hAnsi="Times New Roman" w:eastAsia="宋体"/>
          <w:sz w:val="22"/>
          <w:szCs w:val="28"/>
        </w:rPr>
        <w:t>Scholars and practitioners in clinical nursing, health management, elderly care, nursing education, and related health-care fields are welcome to submit manuscripts.</w:t>
      </w:r>
    </w:p>
    <w:p w14:paraId="66031F82">
      <w:pPr>
        <w:spacing w:after="80" w:line="300" w:lineRule="auto"/>
        <w:rPr>
          <w:rFonts w:ascii="Times New Roman" w:hAnsi="Times New Roman" w:eastAsia="宋体"/>
          <w:sz w:val="22"/>
          <w:szCs w:val="28"/>
        </w:rPr>
      </w:pPr>
    </w:p>
    <w:p w14:paraId="23235FF8">
      <w:pPr>
        <w:jc w:val="right"/>
        <w:rPr>
          <w:sz w:val="28"/>
          <w:szCs w:val="28"/>
        </w:rPr>
      </w:pPr>
      <w:r>
        <w:rPr>
          <w:rFonts w:hint="eastAsia"/>
          <w:sz w:val="22"/>
          <w:szCs w:val="28"/>
          <w:lang w:val="en-US" w:eastAsia="zh-CN"/>
        </w:rPr>
        <w:t>College</w:t>
      </w:r>
      <w:r>
        <w:rPr>
          <w:rFonts w:ascii="Times New Roman" w:hAnsi="Times New Roman" w:eastAsia="宋体"/>
          <w:sz w:val="22"/>
          <w:szCs w:val="28"/>
        </w:rPr>
        <w:t xml:space="preserve"> of Health Management, Shanghai Jian Qiao University</w:t>
      </w:r>
    </w:p>
    <w:p w14:paraId="4EF7CA6C">
      <w:pPr>
        <w:jc w:val="right"/>
        <w:rPr>
          <w:sz w:val="28"/>
          <w:szCs w:val="28"/>
        </w:rPr>
      </w:pPr>
      <w:r>
        <w:rPr>
          <w:rFonts w:ascii="Times New Roman" w:hAnsi="Times New Roman" w:eastAsia="宋体"/>
          <w:sz w:val="22"/>
          <w:szCs w:val="28"/>
        </w:rPr>
        <w:t>2026</w:t>
      </w:r>
    </w:p>
    <w:sectPr>
      <w:pgSz w:w="12240" w:h="15840"/>
      <w:pgMar w:top="1361" w:right="1474" w:bottom="1361" w:left="147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仓耳渔阳体 W05">
    <w:altName w:val="Yu Gothic UI Semilight"/>
    <w:panose1 w:val="02020400000000000000"/>
    <w:charset w:val="80"/>
    <w:family w:val="auto"/>
    <w:pitch w:val="default"/>
    <w:sig w:usb0="00000000" w:usb1="00000000" w:usb2="00000012" w:usb3="00000000" w:csb0="00020001"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Yu Gothic UI Semilight">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93" w:lineRule="auto"/>
      </w:pPr>
      <w:r>
        <w:separator/>
      </w:r>
    </w:p>
  </w:footnote>
  <w:footnote w:type="continuationSeparator" w:id="1">
    <w:p>
      <w:pPr>
        <w:spacing w:before="0" w:after="0" w:line="293"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CDA0902"/>
    <w:rsid w:val="1CA0554F"/>
    <w:rsid w:val="22743D02"/>
    <w:rsid w:val="3B110927"/>
    <w:rsid w:val="51AA348A"/>
    <w:rsid w:val="5B506443"/>
    <w:rsid w:val="6A971908"/>
    <w:rsid w:val="6BB11952"/>
    <w:rsid w:val="6E572980"/>
    <w:rsid w:val="6FDC1B6B"/>
    <w:rsid w:val="71C26AE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60" w:line="293" w:lineRule="auto"/>
    </w:pPr>
    <w:rPr>
      <w:rFonts w:ascii="Times New Roman" w:hAnsi="Times New Roman" w:eastAsia="宋体"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semiHidden/>
    <w:unhideWhenUsed/>
    <w:qFormat/>
    <w:uiPriority w:val="99"/>
    <w:rPr>
      <w:color w:val="0000FF"/>
      <w:u w:val="single"/>
    </w:rPr>
  </w:style>
  <w:style w:type="character" w:customStyle="1" w:styleId="136">
    <w:name w:val="Header Char"/>
    <w:basedOn w:val="132"/>
    <w:link w:val="25"/>
    <w:qFormat/>
    <w:uiPriority w:val="99"/>
  </w:style>
  <w:style w:type="character" w:customStyle="1" w:styleId="137">
    <w:name w:val="Footer Char"/>
    <w:basedOn w:val="132"/>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2215</Words>
  <Characters>5783</Characters>
  <Lines>0</Lines>
  <Paragraphs>0</Paragraphs>
  <TotalTime>22</TotalTime>
  <ScaleCrop>false</ScaleCrop>
  <LinksUpToDate>false</LinksUpToDate>
  <CharactersWithSpaces>6442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夏日雪</cp:lastModifiedBy>
  <dcterms:modified xsi:type="dcterms:W3CDTF">2026-09-28T06:38:30Z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eyJoZGlkIjoiMmYyNmY1ZTJlZjE5NjNmNzEwYzIwZTE3OTUzMGFlMDUiLCJ1c2VySWQiOiIyNDk1ODEwODMifQ==</vt:lpwstr>
  </property>
  <property fmtid="{D5CDD505-2E9C-101B-9397-08002B2CF9AE}" pid="3" name="KSOProductBuildVer">
    <vt:lpwstr>2052-12.1.0.28505</vt:lpwstr>
  </property>
  <property fmtid="{D5CDD505-2E9C-101B-9397-08002B2CF9AE}" pid="4" name="ICV">
    <vt:lpwstr>EE203624273D4C7FA03F0C122E071EE2_13</vt:lpwstr>
  </property>
</Properties>
</file>