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东华大学授予辅修学士学位实施办法</w:t>
      </w:r>
    </w:p>
    <w:p>
      <w:pPr>
        <w:spacing w:line="360" w:lineRule="auto"/>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东华教〔2020〕14号</w:t>
      </w:r>
    </w:p>
    <w:p>
      <w:pPr>
        <w:spacing w:line="360" w:lineRule="auto"/>
        <w:jc w:val="center"/>
        <w:rPr>
          <w:rFonts w:hint="eastAsia" w:ascii="宋体" w:hAnsi="宋体" w:eastAsia="宋体" w:cs="宋体"/>
          <w:b/>
          <w:bCs/>
          <w:kern w:val="0"/>
          <w:sz w:val="32"/>
          <w:szCs w:val="32"/>
        </w:rPr>
      </w:pPr>
    </w:p>
    <w:p>
      <w:pPr>
        <w:spacing w:line="360" w:lineRule="auto"/>
        <w:jc w:val="center"/>
        <w:rPr>
          <w:rFonts w:hint="eastAsia" w:ascii="宋体" w:hAnsi="宋体" w:eastAsia="宋体" w:cs="宋体"/>
          <w:b/>
          <w:sz w:val="24"/>
        </w:rPr>
      </w:pPr>
      <w:r>
        <w:rPr>
          <w:rFonts w:hint="eastAsia" w:ascii="宋体" w:hAnsi="宋体" w:eastAsia="宋体" w:cs="宋体"/>
          <w:b/>
          <w:sz w:val="24"/>
        </w:rPr>
        <w:t>第一</w:t>
      </w:r>
      <w:bookmarkStart w:id="0" w:name="_GoBack"/>
      <w:bookmarkEnd w:id="0"/>
      <w:r>
        <w:rPr>
          <w:rFonts w:hint="eastAsia" w:ascii="宋体" w:hAnsi="宋体" w:eastAsia="宋体" w:cs="宋体"/>
          <w:b/>
          <w:sz w:val="24"/>
        </w:rPr>
        <w:t>章 总 则</w:t>
      </w:r>
    </w:p>
    <w:p>
      <w:pPr>
        <w:spacing w:line="360" w:lineRule="auto"/>
        <w:ind w:firstLine="482" w:firstLineChars="200"/>
        <w:rPr>
          <w:rFonts w:hint="eastAsia" w:ascii="宋体" w:hAnsi="宋体" w:eastAsia="宋体" w:cs="宋体"/>
          <w:bCs/>
          <w:kern w:val="0"/>
          <w:sz w:val="24"/>
        </w:rPr>
      </w:pPr>
      <w:r>
        <w:rPr>
          <w:rFonts w:hint="eastAsia" w:ascii="宋体" w:hAnsi="宋体" w:eastAsia="宋体" w:cs="宋体"/>
          <w:b/>
          <w:bCs/>
          <w:kern w:val="0"/>
          <w:sz w:val="24"/>
        </w:rPr>
        <w:t>第一条</w:t>
      </w:r>
      <w:r>
        <w:rPr>
          <w:rFonts w:hint="eastAsia" w:ascii="宋体" w:hAnsi="宋体" w:eastAsia="宋体" w:cs="宋体"/>
          <w:bCs/>
          <w:kern w:val="0"/>
          <w:sz w:val="24"/>
        </w:rPr>
        <w:t xml:space="preserve"> 根据国务院学位委员会《学士学位授权与授予管理办法》（学位〔2019〕20号）和上海市学位委员会《关于做好本市高校学士学位授权与授予工作的通知》（沪学位〔2020〕3号）关于加强辅修学士学位工作的要求，为全面落实立德树人根本任务，促进复合型人才培养，支持学有余力的全日制本科生辅修其他本科专业，现结合我校实际，制定此实施办法。</w:t>
      </w:r>
    </w:p>
    <w:p>
      <w:pPr>
        <w:spacing w:line="360" w:lineRule="auto"/>
        <w:ind w:firstLine="482" w:firstLineChars="200"/>
        <w:rPr>
          <w:rFonts w:hint="eastAsia" w:ascii="宋体" w:hAnsi="宋体" w:eastAsia="宋体" w:cs="宋体"/>
          <w:bCs/>
          <w:kern w:val="0"/>
          <w:sz w:val="24"/>
        </w:rPr>
      </w:pPr>
      <w:r>
        <w:rPr>
          <w:rFonts w:hint="eastAsia" w:ascii="宋体" w:hAnsi="宋体" w:eastAsia="宋体" w:cs="宋体"/>
          <w:b/>
          <w:bCs/>
          <w:kern w:val="0"/>
          <w:sz w:val="24"/>
        </w:rPr>
        <w:t>第二条</w:t>
      </w:r>
      <w:r>
        <w:rPr>
          <w:rFonts w:hint="eastAsia" w:ascii="宋体" w:hAnsi="宋体" w:eastAsia="宋体" w:cs="宋体"/>
          <w:bCs/>
          <w:kern w:val="0"/>
          <w:sz w:val="24"/>
        </w:rPr>
        <w:t xml:space="preserve"> 授予辅修学士学位工作应坚持完善制度、依法管理、保证质量、激发活力的原则。</w:t>
      </w:r>
    </w:p>
    <w:p>
      <w:pPr>
        <w:spacing w:line="360" w:lineRule="auto"/>
        <w:jc w:val="center"/>
        <w:rPr>
          <w:rFonts w:hint="eastAsia" w:ascii="宋体" w:hAnsi="宋体" w:eastAsia="宋体" w:cs="宋体"/>
          <w:b/>
          <w:kern w:val="0"/>
          <w:sz w:val="24"/>
        </w:rPr>
      </w:pPr>
      <w:r>
        <w:rPr>
          <w:rFonts w:hint="eastAsia" w:ascii="宋体" w:hAnsi="宋体" w:eastAsia="宋体" w:cs="宋体"/>
          <w:b/>
          <w:sz w:val="24"/>
        </w:rPr>
        <w:t>第二章 适用对象</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b/>
          <w:bCs/>
          <w:kern w:val="0"/>
          <w:sz w:val="24"/>
        </w:rPr>
        <w:t xml:space="preserve">第三条 </w:t>
      </w:r>
      <w:r>
        <w:rPr>
          <w:rFonts w:hint="eastAsia" w:ascii="宋体" w:hAnsi="宋体" w:eastAsia="宋体" w:cs="宋体"/>
          <w:bCs/>
          <w:kern w:val="0"/>
          <w:sz w:val="24"/>
        </w:rPr>
        <w:t>本办法适用于本校</w:t>
      </w:r>
      <w:r>
        <w:rPr>
          <w:rFonts w:hint="eastAsia" w:ascii="宋体" w:hAnsi="宋体" w:eastAsia="宋体" w:cs="宋体"/>
          <w:bCs/>
          <w:kern w:val="0"/>
          <w:sz w:val="24"/>
        </w:rPr>
        <w:t>符合</w:t>
      </w:r>
      <w:r>
        <w:rPr>
          <w:rFonts w:hint="eastAsia" w:ascii="宋体" w:hAnsi="宋体" w:eastAsia="宋体" w:cs="宋体"/>
          <w:bCs/>
          <w:kern w:val="0"/>
          <w:sz w:val="24"/>
        </w:rPr>
        <w:t>学位授予标准的全日制本科毕业生。</w:t>
      </w:r>
    </w:p>
    <w:p>
      <w:pPr>
        <w:spacing w:line="360" w:lineRule="auto"/>
        <w:ind w:left="482"/>
        <w:rPr>
          <w:rFonts w:hint="eastAsia" w:ascii="宋体" w:hAnsi="宋体" w:eastAsia="宋体" w:cs="宋体"/>
          <w:kern w:val="0"/>
          <w:sz w:val="24"/>
        </w:rPr>
      </w:pPr>
      <w:r>
        <w:rPr>
          <w:rFonts w:hint="eastAsia" w:ascii="宋体" w:hAnsi="宋体" w:eastAsia="宋体" w:cs="宋体"/>
          <w:kern w:val="0"/>
          <w:sz w:val="24"/>
        </w:rPr>
        <w:t xml:space="preserve"> </w:t>
      </w:r>
    </w:p>
    <w:p>
      <w:pPr>
        <w:spacing w:line="360" w:lineRule="auto"/>
        <w:jc w:val="center"/>
        <w:rPr>
          <w:rFonts w:hint="eastAsia" w:ascii="宋体" w:hAnsi="宋体" w:eastAsia="宋体" w:cs="宋体"/>
          <w:kern w:val="0"/>
          <w:sz w:val="24"/>
        </w:rPr>
      </w:pPr>
      <w:r>
        <w:rPr>
          <w:rFonts w:hint="eastAsia" w:ascii="宋体" w:hAnsi="宋体" w:eastAsia="宋体" w:cs="宋体"/>
          <w:b/>
          <w:sz w:val="24"/>
        </w:rPr>
        <w:t>第三章 辅修专业</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 xml:space="preserve">第四条 </w:t>
      </w:r>
      <w:r>
        <w:rPr>
          <w:rFonts w:hint="eastAsia" w:ascii="宋体" w:hAnsi="宋体" w:eastAsia="宋体" w:cs="宋体"/>
          <w:kern w:val="0"/>
          <w:sz w:val="24"/>
        </w:rPr>
        <w:t>辅修专业制度是促进复合型人才培养的重要举措，学校开设的辅修专业应为学校目前设置的经教育部批准或备案的本科专业。</w:t>
      </w:r>
    </w:p>
    <w:p>
      <w:pPr>
        <w:spacing w:line="360" w:lineRule="auto"/>
        <w:ind w:firstLine="482" w:firstLineChars="200"/>
        <w:rPr>
          <w:rFonts w:hint="eastAsia" w:ascii="宋体" w:hAnsi="宋体" w:eastAsia="宋体" w:cs="宋体"/>
          <w:b/>
          <w:kern w:val="0"/>
          <w:sz w:val="24"/>
        </w:rPr>
      </w:pPr>
      <w:r>
        <w:rPr>
          <w:rFonts w:hint="eastAsia" w:ascii="宋体" w:hAnsi="宋体" w:eastAsia="宋体" w:cs="宋体"/>
          <w:b/>
          <w:kern w:val="0"/>
          <w:sz w:val="24"/>
        </w:rPr>
        <w:t xml:space="preserve">第五条 </w:t>
      </w:r>
      <w:r>
        <w:rPr>
          <w:rFonts w:hint="eastAsia" w:ascii="宋体" w:hAnsi="宋体" w:eastAsia="宋体" w:cs="宋体"/>
          <w:kern w:val="0"/>
          <w:sz w:val="24"/>
        </w:rPr>
        <w:t>学校根据办学特色和优势，研究制定每年的辅修专业目录，辅修专业应与主修专业归属不同的专业大类。</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 xml:space="preserve">第六条 </w:t>
      </w:r>
      <w:r>
        <w:rPr>
          <w:rFonts w:hint="eastAsia" w:ascii="宋体" w:hAnsi="宋体" w:eastAsia="宋体" w:cs="宋体"/>
          <w:kern w:val="0"/>
          <w:sz w:val="24"/>
        </w:rPr>
        <w:t>辅修专业培养方案由开设专业所在的学院制定，</w:t>
      </w:r>
      <w:r>
        <w:rPr>
          <w:rFonts w:hint="eastAsia" w:ascii="宋体" w:hAnsi="宋体" w:eastAsia="宋体" w:cs="宋体"/>
          <w:kern w:val="0"/>
          <w:sz w:val="24"/>
        </w:rPr>
        <w:t>可参照主修专业设置课程</w:t>
      </w:r>
      <w:r>
        <w:rPr>
          <w:rFonts w:hint="eastAsia" w:ascii="宋体" w:hAnsi="宋体" w:eastAsia="宋体" w:cs="宋体"/>
          <w:kern w:val="0"/>
          <w:sz w:val="24"/>
        </w:rPr>
        <w:t>，</w:t>
      </w:r>
      <w:r>
        <w:rPr>
          <w:rFonts w:hint="eastAsia" w:ascii="宋体" w:hAnsi="宋体" w:eastAsia="宋体" w:cs="宋体"/>
          <w:kern w:val="0"/>
          <w:sz w:val="24"/>
        </w:rPr>
        <w:t>一般开设该专业的基础和核心课程</w:t>
      </w:r>
      <w:r>
        <w:rPr>
          <w:rFonts w:hint="eastAsia" w:ascii="宋体" w:hAnsi="宋体" w:eastAsia="宋体" w:cs="宋体"/>
          <w:kern w:val="0"/>
          <w:sz w:val="24"/>
        </w:rPr>
        <w:t>。课程教学要求与主修专业相同，确有必要的，可设置毕业设计（论文）要求。培养方案经由学院教授委员会审议通过，报教务处备案。</w:t>
      </w:r>
    </w:p>
    <w:p>
      <w:pPr>
        <w:spacing w:line="360" w:lineRule="auto"/>
        <w:jc w:val="center"/>
        <w:rPr>
          <w:rFonts w:hint="eastAsia" w:ascii="宋体" w:hAnsi="宋体" w:eastAsia="宋体" w:cs="宋体"/>
          <w:kern w:val="0"/>
          <w:sz w:val="24"/>
        </w:rPr>
      </w:pPr>
      <w:r>
        <w:rPr>
          <w:rFonts w:hint="eastAsia" w:ascii="宋体" w:hAnsi="宋体" w:eastAsia="宋体" w:cs="宋体"/>
          <w:b/>
          <w:sz w:val="24"/>
        </w:rPr>
        <w:t>第四章 辅修学位</w:t>
      </w:r>
    </w:p>
    <w:p>
      <w:pPr>
        <w:spacing w:line="360" w:lineRule="auto"/>
        <w:ind w:left="482"/>
        <w:jc w:val="left"/>
        <w:rPr>
          <w:rFonts w:hint="eastAsia" w:ascii="宋体" w:hAnsi="宋体" w:eastAsia="宋体" w:cs="宋体"/>
          <w:kern w:val="0"/>
          <w:sz w:val="24"/>
        </w:rPr>
      </w:pPr>
      <w:r>
        <w:rPr>
          <w:rFonts w:hint="eastAsia" w:ascii="宋体" w:hAnsi="宋体" w:eastAsia="宋体" w:cs="宋体"/>
          <w:b/>
          <w:kern w:val="0"/>
          <w:sz w:val="24"/>
        </w:rPr>
        <w:t xml:space="preserve">第七条 </w:t>
      </w:r>
      <w:r>
        <w:rPr>
          <w:rFonts w:hint="eastAsia" w:ascii="宋体" w:hAnsi="宋体" w:eastAsia="宋体" w:cs="宋体"/>
          <w:kern w:val="0"/>
          <w:sz w:val="24"/>
        </w:rPr>
        <w:t>授予条件。</w:t>
      </w:r>
      <w:r>
        <w:rPr>
          <w:rFonts w:hint="eastAsia" w:ascii="宋体" w:hAnsi="宋体" w:eastAsia="宋体" w:cs="宋体"/>
          <w:color w:val="000000" w:themeColor="text1"/>
          <w:sz w:val="24"/>
          <w14:textFill>
            <w14:solidFill>
              <w14:schemeClr w14:val="tx1"/>
            </w14:solidFill>
          </w14:textFill>
        </w:rPr>
        <w:t>授予辅修学位，应符合以下条件：</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（一）具有东华大学学籍的本科生。</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（二）获得主修专业学士学位。</w:t>
      </w:r>
      <w:r>
        <w:rPr>
          <w:rFonts w:hint="eastAsia" w:ascii="宋体" w:hAnsi="宋体" w:eastAsia="宋体" w:cs="宋体"/>
          <w:kern w:val="0"/>
          <w:sz w:val="24"/>
        </w:rPr>
        <w:t>对没有取得主修学士学位的不得授予辅修学士学位。</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（三）在主修专业最长学习年限内完成并取得辅修专业学士学位培养方案和教学计划规定的要求和学分，平均学分绩点</w:t>
      </w:r>
      <w:r>
        <w:rPr>
          <w:rFonts w:hint="eastAsia" w:ascii="宋体" w:hAnsi="宋体" w:eastAsia="宋体" w:cs="宋体"/>
          <w:color w:val="000000" w:themeColor="text1"/>
          <w:sz w:val="24"/>
          <w14:textFill>
            <w14:solidFill>
              <w14:schemeClr w14:val="tx1"/>
            </w14:solidFill>
          </w14:textFill>
        </w:rPr>
        <w:t>1.7以上。</w:t>
      </w:r>
    </w:p>
    <w:p>
      <w:pPr>
        <w:spacing w:line="360" w:lineRule="auto"/>
        <w:ind w:firstLine="42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w:t>
      </w:r>
      <w:r>
        <w:rPr>
          <w:rFonts w:hint="eastAsia" w:ascii="宋体" w:hAnsi="宋体" w:eastAsia="宋体" w:cs="宋体"/>
          <w:kern w:val="0"/>
          <w:sz w:val="24"/>
        </w:rPr>
        <w:t>辅修学士学位应与主修学士学位归属不同的本科专业大类。</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 xml:space="preserve">第八条 </w:t>
      </w:r>
      <w:r>
        <w:rPr>
          <w:rFonts w:hint="eastAsia" w:ascii="宋体" w:hAnsi="宋体" w:eastAsia="宋体" w:cs="宋体"/>
          <w:color w:val="000000" w:themeColor="text1"/>
          <w:sz w:val="24"/>
          <w14:textFill>
            <w14:solidFill>
              <w14:schemeClr w14:val="tx1"/>
            </w14:solidFill>
          </w14:textFill>
        </w:rPr>
        <w:t>审核</w:t>
      </w:r>
      <w:r>
        <w:rPr>
          <w:rFonts w:hint="eastAsia" w:ascii="宋体" w:hAnsi="宋体" w:eastAsia="宋体" w:cs="宋体"/>
          <w:color w:val="000000" w:themeColor="text1"/>
          <w:sz w:val="24"/>
          <w14:textFill>
            <w14:solidFill>
              <w14:schemeClr w14:val="tx1"/>
            </w14:solidFill>
          </w14:textFill>
        </w:rPr>
        <w:t>程序</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kern w:val="0"/>
          <w:sz w:val="24"/>
        </w:rPr>
        <w:t>辅修专业开设学院逐一审核本校修读辅修专业学生提出的学士学位申请，将符合《东华大学学士学位授予工作细则》</w:t>
      </w:r>
      <w:r>
        <w:rPr>
          <w:rFonts w:hint="eastAsia" w:ascii="宋体" w:hAnsi="宋体" w:eastAsia="宋体" w:cs="宋体"/>
          <w:kern w:val="0"/>
          <w:sz w:val="24"/>
        </w:rPr>
        <w:t>及本实施</w:t>
      </w:r>
      <w:r>
        <w:rPr>
          <w:rFonts w:hint="eastAsia" w:ascii="宋体" w:hAnsi="宋体" w:eastAsia="宋体" w:cs="宋体"/>
          <w:kern w:val="0"/>
          <w:sz w:val="24"/>
        </w:rPr>
        <w:t>办法要求的学生，列入拟授予辅修学士学位名单，报教务处审核。教务处审核无误，报校学位评定委员会，审批通过后</w:t>
      </w:r>
      <w:r>
        <w:rPr>
          <w:rFonts w:hint="eastAsia" w:ascii="宋体" w:hAnsi="宋体" w:eastAsia="宋体" w:cs="宋体"/>
          <w:kern w:val="0"/>
          <w:sz w:val="24"/>
        </w:rPr>
        <w:t>授予</w:t>
      </w:r>
      <w:r>
        <w:rPr>
          <w:rFonts w:hint="eastAsia" w:ascii="宋体" w:hAnsi="宋体" w:eastAsia="宋体" w:cs="宋体"/>
          <w:kern w:val="0"/>
          <w:sz w:val="24"/>
        </w:rPr>
        <w:t>辅修学士</w:t>
      </w:r>
      <w:r>
        <w:rPr>
          <w:rFonts w:hint="eastAsia" w:ascii="宋体" w:hAnsi="宋体" w:eastAsia="宋体" w:cs="宋体"/>
          <w:kern w:val="0"/>
          <w:sz w:val="24"/>
        </w:rPr>
        <w:t>学位。</w:t>
      </w:r>
    </w:p>
    <w:p>
      <w:pPr>
        <w:spacing w:line="360" w:lineRule="auto"/>
        <w:ind w:firstLine="480" w:firstLineChars="200"/>
        <w:rPr>
          <w:rFonts w:hint="eastAsia" w:ascii="宋体" w:hAnsi="宋体" w:eastAsia="宋体" w:cs="宋体"/>
          <w:kern w:val="0"/>
          <w:sz w:val="24"/>
        </w:rPr>
      </w:pPr>
    </w:p>
    <w:p>
      <w:pPr>
        <w:spacing w:line="360" w:lineRule="auto"/>
        <w:jc w:val="center"/>
        <w:rPr>
          <w:rFonts w:hint="eastAsia" w:ascii="宋体" w:hAnsi="宋体" w:eastAsia="宋体" w:cs="宋体"/>
          <w:kern w:val="0"/>
          <w:sz w:val="24"/>
        </w:rPr>
      </w:pPr>
      <w:r>
        <w:rPr>
          <w:rFonts w:hint="eastAsia" w:ascii="宋体" w:hAnsi="宋体" w:eastAsia="宋体" w:cs="宋体"/>
          <w:b/>
          <w:sz w:val="24"/>
        </w:rPr>
        <w:t>第五章 学位证书</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第九条</w:t>
      </w:r>
      <w:r>
        <w:rPr>
          <w:rFonts w:hint="eastAsia" w:ascii="宋体" w:hAnsi="宋体" w:eastAsia="宋体" w:cs="宋体"/>
          <w:kern w:val="0"/>
          <w:sz w:val="24"/>
        </w:rPr>
        <w:t xml:space="preserve"> 学位证书。辅修学士学位在主修学士学位证书中予以注明，不单独发放学位证书。</w:t>
      </w:r>
    </w:p>
    <w:p>
      <w:pPr>
        <w:spacing w:line="360" w:lineRule="auto"/>
        <w:jc w:val="center"/>
        <w:rPr>
          <w:rFonts w:hint="eastAsia" w:ascii="宋体" w:hAnsi="宋体" w:eastAsia="宋体" w:cs="宋体"/>
          <w:kern w:val="0"/>
          <w:sz w:val="24"/>
        </w:rPr>
      </w:pPr>
      <w:r>
        <w:rPr>
          <w:rFonts w:hint="eastAsia" w:ascii="宋体" w:hAnsi="宋体" w:eastAsia="宋体" w:cs="宋体"/>
          <w:b/>
          <w:sz w:val="24"/>
        </w:rPr>
        <w:t>第六章 附 则</w:t>
      </w:r>
    </w:p>
    <w:p>
      <w:pPr>
        <w:spacing w:line="360" w:lineRule="auto"/>
        <w:ind w:firstLine="482" w:firstLineChars="200"/>
        <w:rPr>
          <w:rFonts w:hint="eastAsia" w:ascii="宋体" w:hAnsi="宋体" w:eastAsia="宋体" w:cs="宋体"/>
          <w:kern w:val="0"/>
          <w:sz w:val="24"/>
        </w:rPr>
      </w:pPr>
      <w:r>
        <w:rPr>
          <w:rFonts w:hint="eastAsia" w:ascii="宋体" w:hAnsi="宋体" w:eastAsia="宋体" w:cs="宋体"/>
          <w:b/>
          <w:kern w:val="0"/>
          <w:sz w:val="24"/>
        </w:rPr>
        <w:t>第十条</w:t>
      </w:r>
      <w:r>
        <w:rPr>
          <w:rFonts w:hint="eastAsia" w:ascii="宋体" w:hAnsi="宋体" w:eastAsia="宋体" w:cs="宋体"/>
          <w:kern w:val="0"/>
          <w:sz w:val="24"/>
        </w:rPr>
        <w:t xml:space="preserve"> 本办法适用于2020年及以后录取修读的辅修学生，2020年以前的仍按照原规定执行。</w:t>
      </w:r>
    </w:p>
    <w:p>
      <w:pPr>
        <w:spacing w:line="360" w:lineRule="auto"/>
        <w:ind w:left="62" w:firstLine="420"/>
        <w:rPr>
          <w:rFonts w:hint="eastAsia" w:ascii="宋体" w:hAnsi="宋体" w:eastAsia="宋体" w:cs="宋体"/>
          <w:kern w:val="0"/>
          <w:sz w:val="24"/>
        </w:rPr>
      </w:pPr>
      <w:r>
        <w:rPr>
          <w:rFonts w:hint="eastAsia" w:ascii="宋体" w:hAnsi="宋体" w:eastAsia="宋体" w:cs="宋体"/>
          <w:b/>
          <w:kern w:val="0"/>
          <w:sz w:val="24"/>
        </w:rPr>
        <w:t>第十一条</w:t>
      </w:r>
      <w:r>
        <w:rPr>
          <w:rFonts w:hint="eastAsia" w:ascii="宋体" w:hAnsi="宋体" w:eastAsia="宋体" w:cs="宋体"/>
          <w:b/>
          <w:bCs/>
          <w:sz w:val="24"/>
        </w:rPr>
        <w:t xml:space="preserve">  </w:t>
      </w:r>
      <w:r>
        <w:rPr>
          <w:rFonts w:hint="eastAsia" w:ascii="宋体" w:hAnsi="宋体" w:eastAsia="宋体" w:cs="宋体"/>
          <w:kern w:val="0"/>
          <w:sz w:val="24"/>
        </w:rPr>
        <w:t>本</w:t>
      </w:r>
      <w:r>
        <w:rPr>
          <w:rFonts w:hint="eastAsia" w:ascii="宋体" w:hAnsi="宋体" w:eastAsia="宋体" w:cs="宋体"/>
          <w:kern w:val="0"/>
          <w:sz w:val="24"/>
        </w:rPr>
        <w:t>办法</w:t>
      </w:r>
      <w:r>
        <w:rPr>
          <w:rFonts w:hint="eastAsia" w:ascii="宋体" w:hAnsi="宋体" w:eastAsia="宋体" w:cs="宋体"/>
          <w:kern w:val="0"/>
          <w:sz w:val="24"/>
        </w:rPr>
        <w:t>经</w:t>
      </w:r>
      <w:r>
        <w:rPr>
          <w:rFonts w:hint="eastAsia" w:ascii="宋体" w:hAnsi="宋体" w:eastAsia="宋体" w:cs="宋体"/>
          <w:kern w:val="0"/>
          <w:sz w:val="24"/>
        </w:rPr>
        <w:t>校学位评定委员会</w:t>
      </w:r>
      <w:r>
        <w:rPr>
          <w:rFonts w:hint="eastAsia" w:ascii="宋体" w:hAnsi="宋体" w:eastAsia="宋体" w:cs="宋体"/>
          <w:kern w:val="0"/>
          <w:sz w:val="24"/>
        </w:rPr>
        <w:t>审</w:t>
      </w:r>
      <w:r>
        <w:rPr>
          <w:rFonts w:hint="eastAsia" w:ascii="宋体" w:hAnsi="宋体" w:eastAsia="宋体" w:cs="宋体"/>
          <w:kern w:val="0"/>
          <w:sz w:val="24"/>
        </w:rPr>
        <w:t>定通过</w:t>
      </w:r>
      <w:r>
        <w:rPr>
          <w:rFonts w:hint="eastAsia" w:ascii="宋体" w:hAnsi="宋体" w:eastAsia="宋体" w:cs="宋体"/>
          <w:kern w:val="0"/>
          <w:sz w:val="24"/>
        </w:rPr>
        <w:t>，</w:t>
      </w:r>
      <w:r>
        <w:rPr>
          <w:rFonts w:hint="eastAsia" w:ascii="宋体" w:hAnsi="宋体" w:eastAsia="宋体" w:cs="宋体"/>
          <w:color w:val="000000" w:themeColor="text1"/>
          <w:sz w:val="24"/>
          <w14:textFill>
            <w14:solidFill>
              <w14:schemeClr w14:val="tx1"/>
            </w14:solidFill>
          </w14:textFill>
        </w:rPr>
        <w:t>自发布之日起实施</w:t>
      </w:r>
      <w:r>
        <w:rPr>
          <w:rFonts w:hint="eastAsia" w:ascii="宋体" w:hAnsi="宋体" w:eastAsia="宋体" w:cs="宋体"/>
          <w:kern w:val="0"/>
          <w:sz w:val="24"/>
        </w:rPr>
        <w:t>。</w:t>
      </w:r>
    </w:p>
    <w:p>
      <w:pPr>
        <w:spacing w:line="360" w:lineRule="auto"/>
        <w:ind w:firstLine="482"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kern w:val="0"/>
          <w:sz w:val="24"/>
        </w:rPr>
        <w:t>第十二条</w:t>
      </w:r>
      <w:r>
        <w:rPr>
          <w:rFonts w:hint="eastAsia" w:ascii="宋体" w:hAnsi="宋体" w:eastAsia="宋体" w:cs="宋体"/>
          <w:b/>
          <w:bCs/>
          <w:sz w:val="24"/>
        </w:rPr>
        <w:t xml:space="preserve">  </w:t>
      </w:r>
      <w:r>
        <w:rPr>
          <w:rFonts w:hint="eastAsia" w:ascii="宋体" w:hAnsi="宋体" w:eastAsia="宋体" w:cs="宋体"/>
          <w:color w:val="000000" w:themeColor="text1"/>
          <w:sz w:val="24"/>
          <w14:textFill>
            <w14:solidFill>
              <w14:schemeClr w14:val="tx1"/>
            </w14:solidFill>
          </w14:textFill>
        </w:rPr>
        <w:t>本</w:t>
      </w:r>
      <w:r>
        <w:rPr>
          <w:rFonts w:hint="eastAsia" w:ascii="宋体" w:hAnsi="宋体" w:eastAsia="宋体" w:cs="宋体"/>
          <w:color w:val="000000" w:themeColor="text1"/>
          <w:sz w:val="24"/>
          <w14:textFill>
            <w14:solidFill>
              <w14:schemeClr w14:val="tx1"/>
            </w14:solidFill>
          </w14:textFill>
        </w:rPr>
        <w:t>办法由校学位评定委员会负责解释，具体工作由教务处承担。</w:t>
      </w:r>
    </w:p>
    <w:p>
      <w:pPr>
        <w:spacing w:line="360" w:lineRule="auto"/>
        <w:ind w:left="62" w:firstLine="420"/>
        <w:rPr>
          <w:rFonts w:hint="eastAsia" w:ascii="宋体" w:hAnsi="宋体" w:eastAsia="宋体" w:cs="宋体"/>
          <w:kern w:val="0"/>
          <w:sz w:val="24"/>
        </w:rPr>
      </w:pPr>
    </w:p>
    <w:p>
      <w:pPr>
        <w:spacing w:line="360" w:lineRule="auto"/>
        <w:ind w:firstLine="480" w:firstLineChars="200"/>
        <w:rPr>
          <w:rFonts w:ascii="仿宋" w:hAnsi="仿宋" w:eastAsia="仿宋"/>
          <w:kern w:val="0"/>
          <w:sz w:val="24"/>
        </w:rPr>
      </w:pPr>
    </w:p>
    <w:p>
      <w:pPr>
        <w:spacing w:line="360" w:lineRule="auto"/>
        <w:ind w:firstLine="560" w:firstLineChars="200"/>
        <w:rPr>
          <w:rFonts w:ascii="仿宋" w:hAnsi="仿宋" w:eastAsia="仿宋"/>
          <w:color w:val="000000" w:themeColor="text1"/>
          <w:sz w:val="28"/>
          <w:szCs w:val="28"/>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163"/>
    <w:rsid w:val="00046EBF"/>
    <w:rsid w:val="00074B03"/>
    <w:rsid w:val="000868C4"/>
    <w:rsid w:val="00093F0A"/>
    <w:rsid w:val="000A0304"/>
    <w:rsid w:val="000A1F3C"/>
    <w:rsid w:val="001146D9"/>
    <w:rsid w:val="00154E26"/>
    <w:rsid w:val="00163479"/>
    <w:rsid w:val="001713A2"/>
    <w:rsid w:val="00195714"/>
    <w:rsid w:val="001A2C06"/>
    <w:rsid w:val="001A693F"/>
    <w:rsid w:val="001D3E91"/>
    <w:rsid w:val="001E105F"/>
    <w:rsid w:val="001E531C"/>
    <w:rsid w:val="00240877"/>
    <w:rsid w:val="00241C7B"/>
    <w:rsid w:val="002444A9"/>
    <w:rsid w:val="0024654A"/>
    <w:rsid w:val="00257829"/>
    <w:rsid w:val="00270270"/>
    <w:rsid w:val="0028094B"/>
    <w:rsid w:val="002929CF"/>
    <w:rsid w:val="00295707"/>
    <w:rsid w:val="002A2163"/>
    <w:rsid w:val="00346975"/>
    <w:rsid w:val="00383EA8"/>
    <w:rsid w:val="00393918"/>
    <w:rsid w:val="003A11BC"/>
    <w:rsid w:val="003A1E52"/>
    <w:rsid w:val="003A5A0F"/>
    <w:rsid w:val="003A6E7B"/>
    <w:rsid w:val="003D517B"/>
    <w:rsid w:val="004120DE"/>
    <w:rsid w:val="00420C4B"/>
    <w:rsid w:val="004346DA"/>
    <w:rsid w:val="00442653"/>
    <w:rsid w:val="00455309"/>
    <w:rsid w:val="004618D2"/>
    <w:rsid w:val="004A001B"/>
    <w:rsid w:val="004B6A4B"/>
    <w:rsid w:val="004F1223"/>
    <w:rsid w:val="0053191F"/>
    <w:rsid w:val="00532AA2"/>
    <w:rsid w:val="00554ABC"/>
    <w:rsid w:val="00574E0A"/>
    <w:rsid w:val="005A0E5C"/>
    <w:rsid w:val="005A5849"/>
    <w:rsid w:val="005D6757"/>
    <w:rsid w:val="005D6B2E"/>
    <w:rsid w:val="005F47B6"/>
    <w:rsid w:val="00601461"/>
    <w:rsid w:val="00641F8C"/>
    <w:rsid w:val="0064437B"/>
    <w:rsid w:val="00667A0A"/>
    <w:rsid w:val="0067099D"/>
    <w:rsid w:val="00670CCB"/>
    <w:rsid w:val="00673CD9"/>
    <w:rsid w:val="00677D64"/>
    <w:rsid w:val="006D3394"/>
    <w:rsid w:val="006E2ED7"/>
    <w:rsid w:val="00707CEA"/>
    <w:rsid w:val="00712BA9"/>
    <w:rsid w:val="0071455F"/>
    <w:rsid w:val="007341E9"/>
    <w:rsid w:val="00761729"/>
    <w:rsid w:val="0077210B"/>
    <w:rsid w:val="00782F57"/>
    <w:rsid w:val="0078342F"/>
    <w:rsid w:val="007861D7"/>
    <w:rsid w:val="00793ACC"/>
    <w:rsid w:val="007B19A6"/>
    <w:rsid w:val="007B48FD"/>
    <w:rsid w:val="007E2D79"/>
    <w:rsid w:val="007F3F30"/>
    <w:rsid w:val="00843ECA"/>
    <w:rsid w:val="00863565"/>
    <w:rsid w:val="00895623"/>
    <w:rsid w:val="00895BF9"/>
    <w:rsid w:val="008B28B5"/>
    <w:rsid w:val="008B512C"/>
    <w:rsid w:val="008B6421"/>
    <w:rsid w:val="008D1CD9"/>
    <w:rsid w:val="008D3833"/>
    <w:rsid w:val="0091555D"/>
    <w:rsid w:val="009241F4"/>
    <w:rsid w:val="009416E7"/>
    <w:rsid w:val="009A67F4"/>
    <w:rsid w:val="009B5C28"/>
    <w:rsid w:val="009B7930"/>
    <w:rsid w:val="009D0D2D"/>
    <w:rsid w:val="009E1DEC"/>
    <w:rsid w:val="009F5DC9"/>
    <w:rsid w:val="00A56E79"/>
    <w:rsid w:val="00A804C2"/>
    <w:rsid w:val="00AF19D3"/>
    <w:rsid w:val="00B137C8"/>
    <w:rsid w:val="00B1713B"/>
    <w:rsid w:val="00B249EC"/>
    <w:rsid w:val="00B24F24"/>
    <w:rsid w:val="00B37863"/>
    <w:rsid w:val="00B413D9"/>
    <w:rsid w:val="00B5734C"/>
    <w:rsid w:val="00B942D4"/>
    <w:rsid w:val="00BA1619"/>
    <w:rsid w:val="00BB3033"/>
    <w:rsid w:val="00BB49FB"/>
    <w:rsid w:val="00BD50AE"/>
    <w:rsid w:val="00BD576F"/>
    <w:rsid w:val="00C01225"/>
    <w:rsid w:val="00C11B9C"/>
    <w:rsid w:val="00C355C3"/>
    <w:rsid w:val="00C51CEF"/>
    <w:rsid w:val="00C53392"/>
    <w:rsid w:val="00C54784"/>
    <w:rsid w:val="00C61A1B"/>
    <w:rsid w:val="00C65AE0"/>
    <w:rsid w:val="00C961D7"/>
    <w:rsid w:val="00CC3477"/>
    <w:rsid w:val="00CC4FDC"/>
    <w:rsid w:val="00CE1A0B"/>
    <w:rsid w:val="00D0614F"/>
    <w:rsid w:val="00D22AC1"/>
    <w:rsid w:val="00D3180D"/>
    <w:rsid w:val="00D318B2"/>
    <w:rsid w:val="00D765E9"/>
    <w:rsid w:val="00DC2389"/>
    <w:rsid w:val="00DD792A"/>
    <w:rsid w:val="00DF1455"/>
    <w:rsid w:val="00E04262"/>
    <w:rsid w:val="00E10C81"/>
    <w:rsid w:val="00E27B17"/>
    <w:rsid w:val="00E47B04"/>
    <w:rsid w:val="00E518C4"/>
    <w:rsid w:val="00E87DF7"/>
    <w:rsid w:val="00F10953"/>
    <w:rsid w:val="00F17396"/>
    <w:rsid w:val="00F219A7"/>
    <w:rsid w:val="00F344D9"/>
    <w:rsid w:val="00F47A8A"/>
    <w:rsid w:val="00F50A64"/>
    <w:rsid w:val="00F742EB"/>
    <w:rsid w:val="00F81CDA"/>
    <w:rsid w:val="00F85058"/>
    <w:rsid w:val="00F96DF9"/>
    <w:rsid w:val="00FB6FD8"/>
    <w:rsid w:val="00FB7CA0"/>
    <w:rsid w:val="00FD647D"/>
    <w:rsid w:val="77B414A9"/>
    <w:rsid w:val="77F15B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qFormat/>
    <w:uiPriority w:val="22"/>
    <w:rPr>
      <w:b/>
      <w:bCs/>
      <w:color w:val="943734"/>
      <w:spacing w:val="5"/>
    </w:rPr>
  </w:style>
  <w:style w:type="paragraph" w:styleId="5">
    <w:name w:val="List Paragraph"/>
    <w:basedOn w:val="1"/>
    <w:qFormat/>
    <w:uiPriority w:val="34"/>
    <w:pPr>
      <w:ind w:firstLine="420" w:firstLineChars="200"/>
    </w:pPr>
  </w:style>
  <w:style w:type="paragraph" w:customStyle="1" w:styleId="6">
    <w:name w:val="Default"/>
    <w:uiPriority w:val="0"/>
    <w:pPr>
      <w:widowControl w:val="0"/>
      <w:autoSpaceDE w:val="0"/>
      <w:autoSpaceDN w:val="0"/>
      <w:adjustRightInd w:val="0"/>
    </w:pPr>
    <w:rPr>
      <w:rFonts w:ascii="仿宋" w:hAnsi="仿宋" w:cs="仿宋" w:eastAsiaTheme="minorEastAsia"/>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F41631-CE0C-41FB-9533-CFF19608AB1D}">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147</Words>
  <Characters>841</Characters>
  <Lines>7</Lines>
  <Paragraphs>1</Paragraphs>
  <TotalTime>6</TotalTime>
  <ScaleCrop>false</ScaleCrop>
  <LinksUpToDate>false</LinksUpToDate>
  <CharactersWithSpaces>987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2020-09-07T07:20:00Z</dcterms:created>
  <dc:creator>llgs</dc:creator>
  <cp:lastModifiedBy>llniu</cp:lastModifiedBy>
  <cp:lastPrinted>2020-09-02T06:56:00Z</cp:lastPrinted>
  <dcterms:modified xsi:type="dcterms:W3CDTF">2021-05-31T03:06:20Z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BD2510C609534CA0AEE57CD541EBD6E1</vt:lpwstr>
  </property>
</Properties>
</file>