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keepNext w:val="0"/>
        <w:keepLines w:val="0"/>
        <w:rPr>
          <w:color w:val="000000" w:themeColor="text1"/>
          <w:szCs w:val="32"/>
        </w:rPr>
      </w:pPr>
      <w:bookmarkStart w:id="0" w:name="_Toc66868147"/>
      <w:bookmarkStart w:id="1" w:name="_Toc117856772"/>
      <w:r>
        <w:rPr>
          <w:rFonts w:hint="eastAsia"/>
          <w:color w:val="000000" w:themeColor="text1"/>
        </w:rPr>
        <w:t>产品设计（珠宝首饰设计）</w:t>
      </w:r>
      <w:bookmarkEnd w:id="0"/>
      <w:bookmarkEnd w:id="1"/>
      <w:r>
        <w:rPr>
          <w:rFonts w:hint="eastAsia"/>
          <w:color w:val="000000" w:themeColor="text1"/>
        </w:rPr>
        <w:t>（中本贯通）</w:t>
      </w: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outlineLvl w:val="1"/>
        <w:rPr>
          <w:rFonts w:ascii="仿宋_GB2312" w:hAnsi="仿宋_GB2312" w:eastAsia="仿宋_GB2312"/>
          <w:b/>
          <w:color w:val="000000" w:themeColor="text1"/>
          <w:sz w:val="21"/>
          <w:szCs w:val="21"/>
        </w:rPr>
      </w:pPr>
      <w:r>
        <w:rPr>
          <w:rFonts w:hint="eastAsia" w:ascii="仿宋_GB2312" w:hAnsi="仿宋_GB2312" w:eastAsia="仿宋_GB2312"/>
          <w:b/>
          <w:color w:val="000000" w:themeColor="text1"/>
          <w:sz w:val="21"/>
          <w:szCs w:val="21"/>
        </w:rPr>
        <w:t>（专业门类：</w:t>
      </w:r>
      <w:r>
        <w:rPr>
          <w:rFonts w:ascii="仿宋_GB2312" w:hAnsi="仿宋_GB2312" w:eastAsia="仿宋_GB2312"/>
          <w:b/>
          <w:color w:val="000000" w:themeColor="text1"/>
          <w:sz w:val="21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/>
          <w:b/>
          <w:color w:val="000000" w:themeColor="text1"/>
          <w:sz w:val="21"/>
          <w:szCs w:val="21"/>
          <w:u w:val="single"/>
        </w:rPr>
        <w:t>艺术学</w:t>
      </w:r>
      <w:r>
        <w:rPr>
          <w:rFonts w:ascii="仿宋_GB2312" w:hAnsi="仿宋_GB2312" w:eastAsia="仿宋_GB2312"/>
          <w:b/>
          <w:color w:val="000000" w:themeColor="text1"/>
          <w:sz w:val="21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/>
          <w:b/>
          <w:color w:val="000000" w:themeColor="text1"/>
          <w:sz w:val="21"/>
          <w:szCs w:val="21"/>
        </w:rPr>
        <w:t xml:space="preserve"> 专业类：</w:t>
      </w:r>
      <w:r>
        <w:rPr>
          <w:rFonts w:ascii="仿宋_GB2312" w:hAnsi="仿宋_GB2312" w:eastAsia="仿宋_GB2312"/>
          <w:b/>
          <w:color w:val="000000" w:themeColor="text1"/>
          <w:sz w:val="21"/>
          <w:szCs w:val="21"/>
          <w:u w:val="single"/>
        </w:rPr>
        <w:t xml:space="preserve"> </w:t>
      </w:r>
      <w:r>
        <w:rPr>
          <w:rFonts w:hint="eastAsia" w:ascii="仿宋_GB2312" w:hAnsi="仿宋_GB2312" w:eastAsia="仿宋_GB2312"/>
          <w:b/>
          <w:color w:val="000000" w:themeColor="text1"/>
          <w:sz w:val="21"/>
          <w:szCs w:val="21"/>
          <w:u w:val="single"/>
          <w:lang w:eastAsia="zh-Hans"/>
        </w:rPr>
        <w:t>设计学</w:t>
      </w:r>
      <w:r>
        <w:rPr>
          <w:rFonts w:hint="eastAsia" w:ascii="仿宋_GB2312" w:hAnsi="仿宋_GB2312" w:eastAsia="仿宋_GB2312"/>
          <w:b/>
          <w:color w:val="000000" w:themeColor="text1"/>
          <w:sz w:val="21"/>
          <w:szCs w:val="21"/>
          <w:u w:val="single"/>
        </w:rPr>
        <w:t xml:space="preserve">类 </w:t>
      </w:r>
      <w:r>
        <w:rPr>
          <w:rFonts w:hint="eastAsia" w:ascii="仿宋_GB2312" w:hAnsi="仿宋_GB2312" w:eastAsia="仿宋_GB2312"/>
          <w:b/>
          <w:color w:val="000000" w:themeColor="text1"/>
          <w:sz w:val="21"/>
          <w:szCs w:val="21"/>
        </w:rPr>
        <w:t xml:space="preserve"> </w:t>
      </w:r>
      <w:r>
        <w:rPr>
          <w:rFonts w:ascii="仿宋_GB2312" w:hAnsi="仿宋_GB2312" w:eastAsia="仿宋_GB2312"/>
          <w:b/>
          <w:color w:val="000000" w:themeColor="text1"/>
          <w:sz w:val="21"/>
          <w:szCs w:val="21"/>
        </w:rPr>
        <w:t xml:space="preserve">  </w:t>
      </w:r>
      <w:r>
        <w:rPr>
          <w:rFonts w:hint="eastAsia" w:ascii="仿宋_GB2312" w:hAnsi="仿宋_GB2312" w:eastAsia="仿宋_GB2312"/>
          <w:b/>
          <w:color w:val="000000" w:themeColor="text1"/>
          <w:sz w:val="21"/>
          <w:szCs w:val="21"/>
        </w:rPr>
        <w:t>专业代码：</w:t>
      </w:r>
      <w:r>
        <w:rPr>
          <w:rFonts w:hint="eastAsia" w:ascii="仿宋_GB2312" w:hAnsi="仿宋_GB2312" w:eastAsia="仿宋_GB2312"/>
          <w:b/>
          <w:color w:val="000000" w:themeColor="text1"/>
          <w:sz w:val="21"/>
          <w:szCs w:val="21"/>
          <w:u w:val="single"/>
        </w:rPr>
        <w:t xml:space="preserve"> 130504</w:t>
      </w:r>
      <w:r>
        <w:rPr>
          <w:rFonts w:ascii="仿宋_GB2312" w:hAnsi="仿宋_GB2312" w:eastAsia="仿宋_GB2312"/>
          <w:b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仿宋_GB2312" w:hAnsi="仿宋_GB2312" w:eastAsia="仿宋_GB2312"/>
          <w:b/>
          <w:color w:val="000000" w:themeColor="text1"/>
          <w:sz w:val="21"/>
          <w:szCs w:val="21"/>
        </w:rPr>
        <w:t xml:space="preserve"> </w:t>
      </w:r>
      <w:r>
        <w:rPr>
          <w:rFonts w:hint="eastAsia" w:ascii="仿宋_GB2312" w:hAnsi="仿宋_GB2312" w:eastAsia="仿宋_GB2312"/>
          <w:b/>
          <w:color w:val="000000" w:themeColor="text1"/>
          <w:sz w:val="21"/>
          <w:szCs w:val="21"/>
        </w:rPr>
        <w:t>）</w:t>
      </w: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outlineLvl w:val="1"/>
        <w:rPr>
          <w:rFonts w:ascii="仿宋_GB2312" w:hAnsi="仿宋_GB2312" w:eastAsia="仿宋_GB2312"/>
          <w:b/>
          <w:color w:val="000000" w:themeColor="text1"/>
          <w:sz w:val="21"/>
          <w:szCs w:val="21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outlineLvl w:val="1"/>
        <w:rPr>
          <w:rFonts w:ascii="仿宋_GB2312" w:hAnsi="仿宋_GB2312" w:eastAsia="仿宋_GB2312"/>
          <w:color w:val="000000" w:themeColor="text1"/>
          <w:sz w:val="21"/>
          <w:szCs w:val="21"/>
          <w:lang w:eastAsia="zh-Hans"/>
        </w:rPr>
      </w:pPr>
      <w:r>
        <w:rPr>
          <w:rFonts w:hint="eastAsia" w:ascii="仿宋_GB2312" w:hAnsi="仿宋_GB2312" w:eastAsia="仿宋_GB2312"/>
          <w:color w:val="000000" w:themeColor="text1"/>
          <w:sz w:val="21"/>
          <w:szCs w:val="21"/>
        </w:rPr>
        <w:t xml:space="preserve">制订人： </w:t>
      </w:r>
      <w:r>
        <w:rPr>
          <w:rFonts w:hint="eastAsia" w:ascii="仿宋_GB2312" w:hAnsi="仿宋_GB2312" w:eastAsia="仿宋_GB2312"/>
          <w:color w:val="000000" w:themeColor="text1"/>
          <w:sz w:val="21"/>
          <w:szCs w:val="21"/>
          <w:lang w:eastAsia="zh-Hans"/>
        </w:rPr>
        <w:t>王潮</w:t>
      </w:r>
    </w:p>
    <w:p>
      <w:pPr>
        <w:tabs>
          <w:tab w:val="left" w:pos="4200"/>
        </w:tabs>
        <w:adjustRightInd w:val="0"/>
        <w:snapToGrid w:val="0"/>
        <w:spacing w:line="264" w:lineRule="auto"/>
        <w:ind w:firstLine="840" w:firstLineChars="400"/>
        <w:jc w:val="center"/>
        <w:outlineLvl w:val="1"/>
        <w:rPr>
          <w:rFonts w:ascii="仿宋_GB2312" w:hAnsi="仿宋_GB2312" w:eastAsia="仿宋_GB2312"/>
          <w:color w:val="000000" w:themeColor="text1"/>
          <w:sz w:val="21"/>
          <w:szCs w:val="21"/>
        </w:rPr>
      </w:pPr>
      <w:r>
        <w:rPr>
          <w:rFonts w:hint="eastAsia" w:ascii="仿宋_GB2312" w:hAnsi="仿宋_GB2312" w:eastAsia="仿宋_GB2312"/>
          <w:color w:val="000000" w:themeColor="text1"/>
          <w:sz w:val="21"/>
          <w:szCs w:val="21"/>
        </w:rPr>
        <w:t>审核人：</w:t>
      </w: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outlineLvl w:val="1"/>
        <w:rPr>
          <w:rFonts w:ascii="仿宋_GB2312" w:hAnsi="仿宋_GB2312" w:eastAsia="仿宋_GB2312"/>
          <w:color w:val="000000" w:themeColor="text1"/>
          <w:sz w:val="21"/>
          <w:szCs w:val="2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一、培养目标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  <w:lang w:eastAsia="zh-Hans"/>
        </w:rPr>
        <w:t>产品设计</w:t>
      </w:r>
      <w:r>
        <w:rPr>
          <w:bCs/>
          <w:lang w:eastAsia="zh-Hans"/>
        </w:rPr>
        <w:t>（</w:t>
      </w:r>
      <w:r>
        <w:rPr>
          <w:rFonts w:hint="eastAsia"/>
          <w:bCs/>
          <w:lang w:eastAsia="zh-Hans"/>
        </w:rPr>
        <w:t>珠宝首饰设计</w:t>
      </w:r>
      <w:r>
        <w:rPr>
          <w:bCs/>
          <w:lang w:eastAsia="zh-Hans"/>
        </w:rPr>
        <w:t>）</w:t>
      </w:r>
      <w:r>
        <w:rPr>
          <w:rFonts w:hint="eastAsia"/>
          <w:bCs/>
        </w:rPr>
        <w:t>专业培养具有强烈的责任意识、科学的理性精神、领先的审美判断、系统的</w:t>
      </w:r>
      <w:r>
        <w:rPr>
          <w:rFonts w:hint="eastAsia"/>
          <w:bCs/>
          <w:lang w:eastAsia="zh-Hans"/>
        </w:rPr>
        <w:t>珠宝首饰设计</w:t>
      </w:r>
      <w:r>
        <w:rPr>
          <w:rFonts w:hint="eastAsia"/>
          <w:bCs/>
        </w:rPr>
        <w:t>专业知识，掌握相应的设计思维、表达、沟通和管理技能，能从事</w:t>
      </w:r>
      <w:r>
        <w:rPr>
          <w:rFonts w:hint="eastAsia"/>
          <w:bCs/>
          <w:lang w:eastAsia="zh-Hans"/>
        </w:rPr>
        <w:t>珠宝首饰</w:t>
      </w:r>
      <w:r>
        <w:rPr>
          <w:rFonts w:hint="eastAsia"/>
          <w:bCs/>
        </w:rPr>
        <w:t>设计研发、推动专业发展、承担设计教育、相关研究工作，具备自主创业能力，适应我国社会主义现代化建设需要的高</w:t>
      </w:r>
      <w:r>
        <w:rPr>
          <w:rFonts w:hint="eastAsia"/>
          <w:bCs/>
          <w:lang w:eastAsia="zh-Hans"/>
        </w:rPr>
        <w:t>素质</w:t>
      </w:r>
      <w:r>
        <w:rPr>
          <w:rFonts w:hint="eastAsia"/>
          <w:bCs/>
        </w:rPr>
        <w:t>应用型</w:t>
      </w:r>
      <w:r>
        <w:rPr>
          <w:rFonts w:hint="eastAsia"/>
          <w:bCs/>
          <w:lang w:eastAsia="zh-Hans"/>
        </w:rPr>
        <w:t>珠宝首饰</w:t>
      </w:r>
      <w:r>
        <w:rPr>
          <w:rFonts w:hint="eastAsia"/>
          <w:bCs/>
        </w:rPr>
        <w:t>设计专门人才，以及适应国家社会经济文化发展需要的复合型应用人才。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具体目标内涵如下：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</w:t>
      </w:r>
      <w:r>
        <w:rPr>
          <w:bCs/>
        </w:rPr>
        <w:t>1</w:t>
      </w:r>
      <w:r>
        <w:rPr>
          <w:rFonts w:hint="eastAsia"/>
          <w:bCs/>
        </w:rPr>
        <w:t>：培养学生具备爱国爱党、乐于助人、服务社会、</w:t>
      </w:r>
      <w:r>
        <w:rPr>
          <w:rFonts w:hint="eastAsia"/>
          <w:bCs/>
          <w:lang w:eastAsia="zh-Hans"/>
        </w:rPr>
        <w:t>遵守行业职业道德</w:t>
      </w:r>
      <w:r>
        <w:rPr>
          <w:bCs/>
          <w:lang w:eastAsia="zh-Hans"/>
        </w:rPr>
        <w:t>、</w:t>
      </w:r>
      <w:r>
        <w:rPr>
          <w:rFonts w:hint="eastAsia"/>
          <w:bCs/>
        </w:rPr>
        <w:t>懂得感恩</w:t>
      </w:r>
      <w:r>
        <w:rPr>
          <w:rFonts w:hint="eastAsia"/>
          <w:bCs/>
          <w:lang w:eastAsia="zh-Hans"/>
        </w:rPr>
        <w:t>回报</w:t>
      </w:r>
      <w:r>
        <w:rPr>
          <w:rFonts w:hint="eastAsia"/>
          <w:bCs/>
        </w:rPr>
        <w:t>的优秀品质</w:t>
      </w:r>
      <w:r>
        <w:rPr>
          <w:bCs/>
        </w:rPr>
        <w:t>，</w:t>
      </w:r>
      <w:r>
        <w:rPr>
          <w:rFonts w:hint="eastAsia"/>
          <w:bCs/>
        </w:rPr>
        <w:t>具备强烈的责任意识</w:t>
      </w:r>
      <w:r>
        <w:rPr>
          <w:bCs/>
        </w:rPr>
        <w:t>，</w:t>
      </w:r>
      <w:r>
        <w:rPr>
          <w:rFonts w:hint="eastAsia"/>
          <w:bCs/>
        </w:rPr>
        <w:t>科学的理性精神，遵守纪律、守信守责、爱岗敬业，具</w:t>
      </w:r>
      <w:r>
        <w:rPr>
          <w:rFonts w:hint="eastAsia"/>
          <w:bCs/>
          <w:lang w:eastAsia="zh-Hans"/>
        </w:rPr>
        <w:t>备</w:t>
      </w:r>
      <w:r>
        <w:rPr>
          <w:rFonts w:hint="eastAsia"/>
          <w:bCs/>
        </w:rPr>
        <w:t>耐挫折、抗压力的</w:t>
      </w:r>
      <w:r>
        <w:rPr>
          <w:rFonts w:hint="eastAsia"/>
          <w:bCs/>
          <w:lang w:eastAsia="zh-Hans"/>
        </w:rPr>
        <w:t>品质</w:t>
      </w:r>
      <w:r>
        <w:rPr>
          <w:rFonts w:hint="eastAsia"/>
          <w:bCs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2</w:t>
      </w:r>
      <w:r>
        <w:rPr>
          <w:rFonts w:hint="eastAsia"/>
          <w:bCs/>
        </w:rPr>
        <w:t>: 培养学生具备</w:t>
      </w:r>
      <w:r>
        <w:rPr>
          <w:rFonts w:hint="eastAsia"/>
          <w:bCs/>
          <w:lang w:eastAsia="zh-Hans"/>
        </w:rPr>
        <w:t>专业的珠宝首饰</w:t>
      </w:r>
      <w:r>
        <w:rPr>
          <w:rFonts w:hint="eastAsia"/>
          <w:bCs/>
        </w:rPr>
        <w:t>设计能力与审美素养，掌握珠宝首饰设计</w:t>
      </w:r>
      <w:r>
        <w:rPr>
          <w:rFonts w:hint="eastAsia"/>
          <w:bCs/>
          <w:lang w:eastAsia="zh-Hans"/>
        </w:rPr>
        <w:t>与</w:t>
      </w:r>
      <w:r>
        <w:rPr>
          <w:rFonts w:hint="eastAsia"/>
          <w:bCs/>
        </w:rPr>
        <w:t>制作、展示</w:t>
      </w:r>
      <w:r>
        <w:rPr>
          <w:rFonts w:hint="eastAsia"/>
          <w:bCs/>
          <w:lang w:eastAsia="zh-Hans"/>
        </w:rPr>
        <w:t>与鉴定等</w:t>
      </w:r>
      <w:r>
        <w:rPr>
          <w:rFonts w:hint="eastAsia"/>
          <w:bCs/>
        </w:rPr>
        <w:t>技能知识，具备理解他人的观点和设计要求，能够清晰流畅的表达自己的设计构思和创意</w:t>
      </w:r>
      <w:r>
        <w:rPr>
          <w:bCs/>
        </w:rPr>
        <w:t>，</w:t>
      </w:r>
      <w:r>
        <w:rPr>
          <w:rFonts w:hint="eastAsia"/>
          <w:bCs/>
        </w:rPr>
        <w:t>能在不同</w:t>
      </w:r>
      <w:r>
        <w:rPr>
          <w:rFonts w:hint="eastAsia"/>
          <w:bCs/>
          <w:lang w:eastAsia="zh-Hans"/>
        </w:rPr>
        <w:t>工作场景中</w:t>
      </w:r>
      <w:r>
        <w:rPr>
          <w:rFonts w:hint="eastAsia"/>
          <w:bCs/>
        </w:rPr>
        <w:t>用书面、口头或图稿形式进行有效的中英文双向设计沟通的能力。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3</w:t>
      </w:r>
      <w:r>
        <w:rPr>
          <w:rFonts w:hint="eastAsia"/>
          <w:bCs/>
        </w:rPr>
        <w:t>: 培养学生</w:t>
      </w:r>
      <w:r>
        <w:rPr>
          <w:rFonts w:hint="eastAsia"/>
          <w:bCs/>
          <w:lang w:eastAsia="zh-Hans"/>
        </w:rPr>
        <w:t>具备持续学习的能力</w:t>
      </w:r>
      <w:r>
        <w:rPr>
          <w:bCs/>
          <w:lang w:eastAsia="zh-Hans"/>
        </w:rPr>
        <w:t>，</w:t>
      </w:r>
      <w:r>
        <w:rPr>
          <w:rFonts w:hint="eastAsia"/>
          <w:bCs/>
        </w:rPr>
        <w:t>能</w:t>
      </w:r>
      <w:r>
        <w:rPr>
          <w:rFonts w:hint="eastAsia"/>
          <w:bCs/>
          <w:lang w:eastAsia="zh-Hans"/>
        </w:rPr>
        <w:t>够</w:t>
      </w:r>
      <w:r>
        <w:rPr>
          <w:rFonts w:hint="eastAsia"/>
          <w:bCs/>
        </w:rPr>
        <w:t>根据自身需要和岗位需求，结合新知识、新技术、新工艺、新材料</w:t>
      </w:r>
      <w:r>
        <w:rPr>
          <w:rFonts w:hint="eastAsia"/>
          <w:bCs/>
          <w:lang w:eastAsia="zh-Hans"/>
        </w:rPr>
        <w:t>等</w:t>
      </w:r>
      <w:r>
        <w:rPr>
          <w:rFonts w:hint="eastAsia"/>
          <w:bCs/>
        </w:rPr>
        <w:t>发展趋势，</w:t>
      </w:r>
      <w:r>
        <w:rPr>
          <w:rFonts w:hint="eastAsia"/>
          <w:bCs/>
          <w:lang w:eastAsia="zh-Hans"/>
        </w:rPr>
        <w:t>综合应用</w:t>
      </w:r>
      <w:r>
        <w:rPr>
          <w:rFonts w:hint="eastAsia"/>
          <w:bCs/>
        </w:rPr>
        <w:t>信息</w:t>
      </w:r>
      <w:r>
        <w:rPr>
          <w:rFonts w:hint="eastAsia"/>
          <w:bCs/>
          <w:lang w:eastAsia="zh-Hans"/>
        </w:rPr>
        <w:t>技术手段</w:t>
      </w:r>
      <w:r>
        <w:rPr>
          <w:rFonts w:hint="eastAsia"/>
          <w:bCs/>
        </w:rPr>
        <w:t>和</w:t>
      </w:r>
      <w:r>
        <w:rPr>
          <w:rFonts w:hint="eastAsia"/>
          <w:bCs/>
          <w:lang w:eastAsia="zh-Hans"/>
        </w:rPr>
        <w:t>专业知识实现有效地</w:t>
      </w:r>
      <w:r>
        <w:rPr>
          <w:bCs/>
          <w:lang w:eastAsia="zh-Hans"/>
        </w:rPr>
        <w:t>、</w:t>
      </w:r>
      <w:r>
        <w:rPr>
          <w:rFonts w:hint="eastAsia"/>
          <w:bCs/>
          <w:lang w:eastAsia="zh-Hans"/>
        </w:rPr>
        <w:t>创新性地解决工作和学习中遇到的问题</w:t>
      </w:r>
      <w:r>
        <w:rPr>
          <w:rFonts w:hint="eastAsia"/>
          <w:bCs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4</w:t>
      </w:r>
      <w:r>
        <w:rPr>
          <w:rFonts w:hint="eastAsia"/>
          <w:bCs/>
        </w:rPr>
        <w:t>: 培养学生具备同工作学习伙伴</w:t>
      </w:r>
      <w:r>
        <w:rPr>
          <w:rFonts w:hint="eastAsia"/>
          <w:bCs/>
          <w:lang w:eastAsia="zh-Hans"/>
        </w:rPr>
        <w:t>协作创新的能力</w:t>
      </w:r>
      <w:r>
        <w:rPr>
          <w:bCs/>
          <w:lang w:eastAsia="zh-Hans"/>
        </w:rPr>
        <w:t>，</w:t>
      </w:r>
      <w:r>
        <w:rPr>
          <w:rFonts w:hint="eastAsia"/>
          <w:bCs/>
          <w:lang w:eastAsia="zh-Hans"/>
        </w:rPr>
        <w:t>适应珠宝首饰行业中不同类型工作岗位的协作关系</w:t>
      </w:r>
      <w:r>
        <w:rPr>
          <w:bCs/>
          <w:lang w:eastAsia="zh-Hans"/>
        </w:rPr>
        <w:t>，</w:t>
      </w:r>
      <w:r>
        <w:rPr>
          <w:rFonts w:hint="eastAsia"/>
          <w:bCs/>
          <w:lang w:eastAsia="zh-Hans"/>
        </w:rPr>
        <w:t>并且能够在工作团队中发挥个人能力优势</w:t>
      </w:r>
      <w:r>
        <w:rPr>
          <w:bCs/>
          <w:lang w:eastAsia="zh-Hans"/>
        </w:rPr>
        <w:t>，</w:t>
      </w:r>
      <w:r>
        <w:rPr>
          <w:rFonts w:hint="eastAsia"/>
          <w:bCs/>
        </w:rPr>
        <w:t>从</w:t>
      </w:r>
      <w:r>
        <w:rPr>
          <w:rFonts w:hint="eastAsia"/>
          <w:bCs/>
          <w:lang w:eastAsia="zh-Hans"/>
        </w:rPr>
        <w:t>综合的</w:t>
      </w:r>
      <w:r>
        <w:rPr>
          <w:rFonts w:hint="eastAsia"/>
          <w:bCs/>
        </w:rPr>
        <w:t>维度思考</w:t>
      </w:r>
      <w:r>
        <w:rPr>
          <w:rFonts w:hint="eastAsia"/>
          <w:bCs/>
          <w:lang w:eastAsia="zh-Hans"/>
        </w:rPr>
        <w:t>设计任务和工作</w:t>
      </w:r>
      <w:r>
        <w:rPr>
          <w:rFonts w:hint="eastAsia"/>
          <w:bCs/>
        </w:rPr>
        <w:t>问题，在设计实践中</w:t>
      </w:r>
      <w:r>
        <w:rPr>
          <w:rFonts w:hint="eastAsia"/>
          <w:bCs/>
          <w:lang w:eastAsia="zh-Hans"/>
        </w:rPr>
        <w:t>能够</w:t>
      </w:r>
      <w:r>
        <w:rPr>
          <w:rFonts w:hint="eastAsia"/>
          <w:bCs/>
        </w:rPr>
        <w:t>提出</w:t>
      </w:r>
      <w:r>
        <w:rPr>
          <w:rFonts w:hint="eastAsia"/>
          <w:bCs/>
          <w:lang w:eastAsia="zh-Hans"/>
        </w:rPr>
        <w:t>创意性</w:t>
      </w:r>
      <w:r>
        <w:rPr>
          <w:rFonts w:hint="eastAsia"/>
          <w:bCs/>
        </w:rPr>
        <w:t>的构思和</w:t>
      </w:r>
      <w:r>
        <w:rPr>
          <w:rFonts w:hint="eastAsia"/>
          <w:bCs/>
          <w:lang w:eastAsia="zh-Hans"/>
        </w:rPr>
        <w:t>实施方案</w:t>
      </w:r>
      <w:r>
        <w:rPr>
          <w:rFonts w:hint="eastAsia"/>
          <w:bCs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outlineLvl w:val="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line="440" w:lineRule="exact"/>
        <w:ind w:firstLine="480" w:firstLineChars="200"/>
        <w:outlineLvl w:val="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line="440" w:lineRule="exact"/>
        <w:ind w:firstLine="480" w:firstLineChars="200"/>
        <w:outlineLvl w:val="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line="440" w:lineRule="exact"/>
        <w:ind w:firstLine="480" w:firstLineChars="200"/>
        <w:outlineLvl w:val="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二、毕业要求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：具有人文科学素养，具备从事某项工作或专业的理论知识、实践能力。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lang w:eastAsia="zh-Hans"/>
        </w:rPr>
      </w:pPr>
      <w:r>
        <w:rPr>
          <w:rFonts w:hint="eastAsia"/>
          <w:bCs/>
        </w:rPr>
        <w:t>①</w:t>
      </w:r>
      <w:r>
        <w:rPr>
          <w:rFonts w:hint="eastAsia"/>
          <w:bCs/>
          <w:lang w:eastAsia="zh-Hans"/>
        </w:rPr>
        <w:t>具有专业所需的人文科学素养</w:t>
      </w:r>
      <w:r>
        <w:rPr>
          <w:bCs/>
          <w:lang w:eastAsia="zh-Hans"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②掌握珠宝首饰设计</w:t>
      </w:r>
      <w:r>
        <w:rPr>
          <w:rFonts w:hint="eastAsia"/>
          <w:bCs/>
          <w:lang w:eastAsia="zh-Hans"/>
        </w:rPr>
        <w:t>表现的</w:t>
      </w:r>
      <w:r>
        <w:rPr>
          <w:rFonts w:hint="eastAsia"/>
          <w:bCs/>
        </w:rPr>
        <w:t>基本</w:t>
      </w:r>
      <w:r>
        <w:rPr>
          <w:rFonts w:hint="eastAsia"/>
          <w:bCs/>
          <w:lang w:eastAsia="zh-Hans"/>
        </w:rPr>
        <w:t>原则</w:t>
      </w:r>
      <w:r>
        <w:rPr>
          <w:rFonts w:hint="eastAsia"/>
          <w:bCs/>
        </w:rPr>
        <w:t>和方法，具有较强的珠宝首饰设计手绘</w:t>
      </w:r>
      <w:r>
        <w:rPr>
          <w:rFonts w:hint="eastAsia"/>
          <w:bCs/>
          <w:lang w:eastAsia="zh-Hans"/>
        </w:rPr>
        <w:t>能力</w:t>
      </w:r>
      <w:r>
        <w:rPr>
          <w:rFonts w:hint="eastAsia"/>
          <w:bCs/>
        </w:rPr>
        <w:t>和计算机绘图能力。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③掌握珠宝首饰工艺的基本理论知识</w:t>
      </w:r>
      <w:r>
        <w:rPr>
          <w:rFonts w:hint="eastAsia"/>
          <w:bCs/>
          <w:lang w:eastAsia="zh-Hans"/>
        </w:rPr>
        <w:t>和</w:t>
      </w:r>
      <w:r>
        <w:rPr>
          <w:rFonts w:hint="eastAsia"/>
          <w:bCs/>
        </w:rPr>
        <w:t>加工技能</w:t>
      </w:r>
      <w:r>
        <w:rPr>
          <w:bCs/>
        </w:rPr>
        <w:t>，</w:t>
      </w:r>
      <w:r>
        <w:rPr>
          <w:rFonts w:hint="eastAsia"/>
          <w:bCs/>
          <w:lang w:eastAsia="zh-Hans"/>
        </w:rPr>
        <w:t>能够综合</w:t>
      </w:r>
      <w:r>
        <w:rPr>
          <w:rFonts w:hint="eastAsia"/>
          <w:bCs/>
        </w:rPr>
        <w:t>掌握珠宝玉石和多种首饰材料的性质和加工特点进行</w:t>
      </w:r>
      <w:r>
        <w:rPr>
          <w:rFonts w:hint="eastAsia"/>
          <w:bCs/>
          <w:lang w:eastAsia="zh-Hans"/>
        </w:rPr>
        <w:t>创新</w:t>
      </w:r>
      <w:r>
        <w:rPr>
          <w:rFonts w:hint="eastAsia"/>
          <w:bCs/>
        </w:rPr>
        <w:t>设计</w:t>
      </w:r>
      <w:r>
        <w:rPr>
          <w:rFonts w:hint="eastAsia"/>
          <w:bCs/>
          <w:lang w:eastAsia="zh-Hans"/>
        </w:rPr>
        <w:t>和</w:t>
      </w:r>
      <w:r>
        <w:rPr>
          <w:rFonts w:hint="eastAsia"/>
          <w:bCs/>
        </w:rPr>
        <w:t>创作。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④掌握珠宝玉石材料的性质和用途，掌握珠宝鉴定的基本理论知识，具备珠宝玉石材料的识别鉴定能力。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⑤掌握珠宝首饰设计展示</w:t>
      </w:r>
      <w:r>
        <w:rPr>
          <w:bCs/>
        </w:rPr>
        <w:t>、</w:t>
      </w:r>
      <w:r>
        <w:rPr>
          <w:rFonts w:hint="eastAsia"/>
          <w:bCs/>
        </w:rPr>
        <w:t>包装和陈</w:t>
      </w:r>
      <w:r>
        <w:rPr>
          <w:rFonts w:hint="eastAsia"/>
          <w:bCs/>
          <w:lang w:eastAsia="zh-Hans"/>
        </w:rPr>
        <w:t>设</w:t>
      </w:r>
      <w:r>
        <w:rPr>
          <w:rFonts w:hint="eastAsia"/>
          <w:bCs/>
        </w:rPr>
        <w:t>的基本原理和方法，具备</w:t>
      </w:r>
      <w:r>
        <w:rPr>
          <w:rFonts w:hint="eastAsia"/>
          <w:bCs/>
          <w:lang w:eastAsia="zh-Hans"/>
        </w:rPr>
        <w:t>珠宝首饰品牌营销与策划</w:t>
      </w:r>
      <w:r>
        <w:rPr>
          <w:bCs/>
          <w:lang w:eastAsia="zh-Hans"/>
        </w:rPr>
        <w:t>、</w:t>
      </w:r>
      <w:r>
        <w:rPr>
          <w:rFonts w:hint="eastAsia"/>
          <w:bCs/>
        </w:rPr>
        <w:t>珠宝</w:t>
      </w:r>
      <w:r>
        <w:rPr>
          <w:rFonts w:hint="eastAsia"/>
          <w:bCs/>
          <w:lang w:eastAsia="zh-Hans"/>
        </w:rPr>
        <w:t>首饰</w:t>
      </w:r>
      <w:r>
        <w:rPr>
          <w:rFonts w:hint="eastAsia"/>
          <w:bCs/>
        </w:rPr>
        <w:t>商业推广</w:t>
      </w:r>
      <w:r>
        <w:rPr>
          <w:rFonts w:hint="eastAsia"/>
          <w:bCs/>
          <w:lang w:eastAsia="zh-Hans"/>
        </w:rPr>
        <w:t>的</w:t>
      </w:r>
      <w:r>
        <w:rPr>
          <w:rFonts w:hint="eastAsia"/>
          <w:bCs/>
        </w:rPr>
        <w:t>能力。</w:t>
      </w:r>
    </w:p>
    <w:p>
      <w:pPr>
        <w:tabs>
          <w:tab w:val="left" w:pos="4200"/>
        </w:tabs>
        <w:spacing w:line="440" w:lineRule="exact"/>
        <w:rPr>
          <w:rFonts w:eastAsia="PingFang SC"/>
          <w:bCs/>
          <w:lang w:eastAsia="zh-Hans"/>
        </w:rPr>
      </w:pPr>
      <w:r>
        <w:rPr>
          <w:bCs/>
        </w:rPr>
        <w:t xml:space="preserve">    </w:t>
      </w:r>
      <w:r>
        <w:rPr>
          <w:rFonts w:hint="eastAsia" w:ascii="PingFang SC" w:hAnsi="PingFang SC" w:eastAsia="PingFang SC" w:cs="PingFang SC"/>
          <w:bCs/>
        </w:rPr>
        <w:t>⑥</w:t>
      </w:r>
      <w:r>
        <w:rPr>
          <w:rFonts w:hint="eastAsia"/>
          <w:bCs/>
          <w:lang w:eastAsia="zh-Hans"/>
        </w:rPr>
        <w:t>掌握珠宝首饰设计行业新的发展动态</w:t>
      </w:r>
      <w:r>
        <w:rPr>
          <w:bCs/>
          <w:lang w:eastAsia="zh-Hans"/>
        </w:rPr>
        <w:t>，</w:t>
      </w:r>
      <w:r>
        <w:rPr>
          <w:rFonts w:hint="eastAsia"/>
          <w:bCs/>
          <w:lang w:eastAsia="zh-Hans"/>
        </w:rPr>
        <w:t>能够利用所学专业知识适应不断变化的工作内容</w:t>
      </w:r>
      <w:r>
        <w:rPr>
          <w:bCs/>
          <w:lang w:eastAsia="zh-Hans"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心理健康，学习和参与心理调适各项活动，耐挫折，能承受学习和生活中的压力。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>
      <w:pPr>
        <w:tabs>
          <w:tab w:val="left" w:pos="4200"/>
        </w:tabs>
        <w:spacing w:line="440" w:lineRule="exact"/>
        <w:ind w:firstLine="480" w:firstLineChars="200"/>
        <w:outlineLvl w:val="0"/>
        <w:rPr>
          <w:rFonts w:ascii="仿宋_GB2312" w:hAnsi="仿宋_GB2312" w:eastAsia="仿宋_GB2312"/>
          <w:bCs/>
          <w:highlight w:val="yellow"/>
        </w:rPr>
      </w:pPr>
    </w:p>
    <w:p>
      <w:pPr>
        <w:tabs>
          <w:tab w:val="left" w:pos="4200"/>
        </w:tabs>
        <w:spacing w:line="360" w:lineRule="auto"/>
        <w:outlineLvl w:val="0"/>
        <w:rPr>
          <w:rFonts w:hint="eastAsia" w:ascii="黑体" w:hAnsi="黑体" w:eastAsia="黑体"/>
          <w:bCs/>
        </w:rPr>
      </w:pPr>
      <w:r>
        <w:rPr>
          <w:rFonts w:hint="eastAsia" w:ascii="黑体" w:hAnsi="黑体" w:eastAsia="黑体"/>
          <w:bCs/>
        </w:rPr>
        <w:t>三、学制、毕业与学位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ascii="仿宋_GB2312" w:hAnsi="楷体" w:eastAsia="仿宋_GB2312"/>
          <w:bCs/>
        </w:rPr>
      </w:pPr>
      <w:r>
        <w:rPr>
          <w:rFonts w:hint="eastAsia" w:ascii="仿宋_GB2312" w:hAnsi="楷体" w:eastAsia="仿宋_GB2312"/>
          <w:bCs/>
        </w:rPr>
        <w:t>学制：四年</w:t>
      </w:r>
    </w:p>
    <w:p>
      <w:pPr>
        <w:tabs>
          <w:tab w:val="left" w:pos="4200"/>
        </w:tabs>
        <w:adjustRightInd w:val="0"/>
        <w:snapToGrid w:val="0"/>
        <w:spacing w:line="264" w:lineRule="auto"/>
        <w:ind w:firstLine="480" w:firstLineChars="200"/>
        <w:outlineLvl w:val="0"/>
        <w:rPr>
          <w:rFonts w:ascii="仿宋_GB2312" w:hAnsi="楷体" w:eastAsia="仿宋_GB2312"/>
        </w:rPr>
      </w:pPr>
      <w:r>
        <w:rPr>
          <w:rFonts w:hint="eastAsia" w:ascii="仿宋_GB2312" w:hAnsi="楷体" w:eastAsia="仿宋_GB2312"/>
          <w:bCs/>
        </w:rPr>
        <w:t>毕业</w:t>
      </w:r>
      <w:r>
        <w:rPr>
          <w:rFonts w:hint="eastAsia" w:ascii="仿宋_GB2312" w:hAnsi="楷体" w:eastAsia="仿宋_GB2312"/>
          <w:b/>
          <w:bCs/>
        </w:rPr>
        <w:t>：</w:t>
      </w:r>
      <w:r>
        <w:rPr>
          <w:rFonts w:hint="eastAsia" w:ascii="仿宋_GB2312" w:hAnsi="楷体" w:eastAsia="仿宋_GB2312"/>
        </w:rPr>
        <w:t>合格修完培养计划规定的课程，并取得相应的16</w:t>
      </w:r>
      <w:r>
        <w:rPr>
          <w:rFonts w:hint="default" w:ascii="仿宋_GB2312" w:hAnsi="楷体" w:eastAsia="仿宋_GB2312"/>
        </w:rPr>
        <w:t>5</w:t>
      </w:r>
      <w:r>
        <w:rPr>
          <w:rFonts w:hint="eastAsia" w:ascii="仿宋_GB2312" w:hAnsi="楷体" w:eastAsia="仿宋_GB2312"/>
        </w:rPr>
        <w:t>学分。</w:t>
      </w:r>
    </w:p>
    <w:p>
      <w:pPr>
        <w:tabs>
          <w:tab w:val="left" w:pos="540"/>
        </w:tabs>
        <w:adjustRightInd w:val="0"/>
        <w:snapToGrid w:val="0"/>
        <w:spacing w:line="264" w:lineRule="auto"/>
        <w:ind w:firstLine="477" w:firstLineChars="199"/>
        <w:rPr>
          <w:rFonts w:hint="eastAsia" w:ascii="仿宋_GB2312" w:hAnsi="楷体" w:eastAsia="仿宋_GB2312"/>
          <w:bCs/>
        </w:rPr>
      </w:pPr>
      <w:r>
        <w:rPr>
          <w:rFonts w:hint="eastAsia" w:ascii="仿宋_GB2312" w:hAnsi="楷体" w:eastAsia="仿宋_GB2312"/>
          <w:bCs/>
        </w:rPr>
        <w:t>学位</w:t>
      </w:r>
      <w:r>
        <w:rPr>
          <w:rFonts w:hint="eastAsia" w:ascii="仿宋_GB2312" w:hAnsi="楷体" w:eastAsia="仿宋_GB2312"/>
          <w:b/>
          <w:bCs/>
        </w:rPr>
        <w:t>：</w:t>
      </w:r>
      <w:r>
        <w:rPr>
          <w:rFonts w:hint="eastAsia" w:ascii="仿宋_GB2312" w:eastAsia="仿宋_GB2312"/>
          <w:bCs/>
        </w:rPr>
        <w:t>艺术</w:t>
      </w:r>
      <w:r>
        <w:rPr>
          <w:rFonts w:hint="eastAsia" w:ascii="仿宋_GB2312" w:hAnsi="楷体" w:eastAsia="仿宋_GB2312"/>
          <w:bCs/>
        </w:rPr>
        <w:t>学学士学位</w:t>
      </w:r>
    </w:p>
    <w:p>
      <w:pPr>
        <w:tabs>
          <w:tab w:val="left" w:pos="4200"/>
        </w:tabs>
        <w:spacing w:line="360" w:lineRule="auto"/>
        <w:outlineLvl w:val="0"/>
        <w:rPr>
          <w:rFonts w:hint="eastAsia" w:ascii="黑体" w:hAnsi="黑体" w:eastAsia="黑体"/>
          <w:bCs/>
        </w:rPr>
      </w:pPr>
      <w:r>
        <w:rPr>
          <w:rFonts w:hint="eastAsia" w:ascii="黑体" w:hAnsi="黑体" w:eastAsia="黑体"/>
          <w:bCs/>
        </w:rPr>
        <w:t>四、执行标准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</w:t>
      </w:r>
      <w:r>
        <w:rPr>
          <w:rFonts w:hint="eastAsia"/>
          <w:bCs/>
          <w:lang w:eastAsia="zh-Hans"/>
        </w:rPr>
        <w:t>设计学</w:t>
      </w:r>
      <w:r>
        <w:rPr>
          <w:rFonts w:hint="eastAsia"/>
          <w:bCs/>
        </w:rPr>
        <w:t>类），2</w:t>
      </w:r>
      <w:r>
        <w:rPr>
          <w:bCs/>
        </w:rPr>
        <w:t>018</w:t>
      </w:r>
      <w:r>
        <w:rPr>
          <w:bCs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default"/>
          <w:bCs/>
        </w:rPr>
      </w:pPr>
      <w:r>
        <w:rPr>
          <w:bCs/>
        </w:rPr>
        <w:t xml:space="preserve">2. 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  <w:r>
        <w:rPr>
          <w:rFonts w:hint="default"/>
          <w:bCs/>
        </w:rPr>
        <w:t>。</w:t>
      </w:r>
    </w:p>
    <w:p>
      <w:pPr>
        <w:tabs>
          <w:tab w:val="left" w:pos="4200"/>
        </w:tabs>
        <w:spacing w:line="440" w:lineRule="exact"/>
        <w:ind w:firstLine="480" w:firstLineChars="200"/>
        <w:outlineLvl w:val="0"/>
        <w:rPr>
          <w:rFonts w:hint="eastAsia" w:ascii="仿宋_GB2312" w:hAnsi="仿宋_GB2312" w:eastAsia="仿宋_GB2312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五、专业核心课程</w:t>
      </w:r>
    </w:p>
    <w:tbl>
      <w:tblPr>
        <w:tblStyle w:val="2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0"/>
        <w:gridCol w:w="4014"/>
        <w:gridCol w:w="2540"/>
      </w:tblGrid>
      <w:tr>
        <w:trPr>
          <w:trHeight w:val="454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课程名称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学分</w:t>
            </w:r>
          </w:p>
        </w:tc>
      </w:tr>
      <w:tr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2040091 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首饰制作（2）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</w:tr>
      <w:tr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2040278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首饰专题设计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</w:tr>
      <w:tr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2040092 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首饰制作（3）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</w:tr>
      <w:tr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2120064 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首饰特殊工艺（1）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</w:tr>
      <w:tr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2120100 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首饰综合材料设计与工艺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</w:tr>
      <w:tr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2120065 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首饰特殊工艺（2）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</w:tr>
      <w:tr>
        <w:trPr>
          <w:trHeight w:val="90" w:hRule="atLeast"/>
          <w:jc w:val="center"/>
        </w:trPr>
        <w:tc>
          <w:tcPr>
            <w:tcW w:w="1674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2120029</w:t>
            </w:r>
          </w:p>
        </w:tc>
        <w:tc>
          <w:tcPr>
            <w:tcW w:w="2036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珠宝设计软件（二）</w:t>
            </w:r>
          </w:p>
        </w:tc>
        <w:tc>
          <w:tcPr>
            <w:tcW w:w="1288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</w:tr>
      <w:tr>
        <w:trPr>
          <w:trHeight w:val="340" w:hRule="atLeast"/>
          <w:jc w:val="center"/>
        </w:trPr>
        <w:tc>
          <w:tcPr>
            <w:tcW w:w="16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2120030 </w:t>
            </w:r>
          </w:p>
        </w:tc>
        <w:tc>
          <w:tcPr>
            <w:tcW w:w="203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首饰设计与工艺实践</w:t>
            </w:r>
          </w:p>
        </w:tc>
        <w:tc>
          <w:tcPr>
            <w:tcW w:w="12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</w:tr>
      <w:tr>
        <w:trPr>
          <w:trHeight w:val="340" w:hRule="atLeast"/>
          <w:jc w:val="center"/>
        </w:trPr>
        <w:tc>
          <w:tcPr>
            <w:tcW w:w="16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2120040</w:t>
            </w:r>
          </w:p>
        </w:tc>
        <w:tc>
          <w:tcPr>
            <w:tcW w:w="203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商业首饰设计</w:t>
            </w:r>
          </w:p>
        </w:tc>
        <w:tc>
          <w:tcPr>
            <w:tcW w:w="12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 </w:t>
            </w: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</w:rPr>
      </w:pPr>
    </w:p>
    <w:p>
      <w:pPr>
        <w:tabs>
          <w:tab w:val="left" w:pos="4200"/>
        </w:tabs>
        <w:spacing w:line="440" w:lineRule="exact"/>
        <w:outlineLvl w:val="0"/>
        <w:rPr>
          <w:rFonts w:hint="eastAsia" w:ascii="仿宋_GB2312" w:hAnsi="仿宋_GB2312" w:eastAsia="仿宋_GB2312"/>
          <w:bCs/>
        </w:rPr>
      </w:pPr>
    </w:p>
    <w:p>
      <w:pPr>
        <w:rPr>
          <w:rFonts w:ascii="仿宋_GB2312" w:hAnsi="仿宋_GB2312" w:eastAsia="仿宋_GB2312"/>
          <w:b/>
        </w:rPr>
      </w:pPr>
      <w:r>
        <w:rPr>
          <w:rFonts w:ascii="仿宋_GB2312" w:hAnsi="仿宋_GB2312" w:eastAsia="仿宋_GB2312"/>
          <w:b/>
        </w:rPr>
        <w:br w:type="page"/>
      </w:r>
    </w:p>
    <w:p>
      <w:pPr>
        <w:tabs>
          <w:tab w:val="left" w:pos="4200"/>
        </w:tabs>
        <w:spacing w:line="360" w:lineRule="auto"/>
        <w:outlineLvl w:val="0"/>
        <w:rPr>
          <w:rFonts w:hint="eastAsia" w:ascii="黑体" w:hAnsi="黑体" w:eastAsia="黑体"/>
          <w:bCs/>
        </w:rPr>
      </w:pPr>
      <w:r>
        <w:rPr>
          <w:rFonts w:hint="eastAsia" w:ascii="黑体" w:hAnsi="黑体" w:eastAsia="黑体"/>
          <w:bCs/>
          <w:lang w:val="en-US" w:eastAsia="zh-Hans"/>
        </w:rPr>
        <w:t>六</w:t>
      </w:r>
      <w:r>
        <w:rPr>
          <w:rFonts w:hint="eastAsia" w:ascii="黑体" w:hAnsi="黑体" w:eastAsia="黑体"/>
          <w:bCs/>
        </w:rPr>
        <w:t>、课程体系结构图</w: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shape id="_x0000_s1066" o:spid="_x0000_s1066" o:spt="202" type="#_x0000_t202" style="position:absolute;left:0pt;margin-left:183.6pt;margin-top:24.7pt;height:104.15pt;width:234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  <w:spacing w:line="288" w:lineRule="auto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1.思想道德与法治    </w:t>
                  </w:r>
                  <w:r>
                    <w:rPr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2.中国近现代史纲要</w:t>
                  </w:r>
                </w:p>
                <w:p>
                  <w:pPr>
                    <w:adjustRightInd w:val="0"/>
                    <w:snapToGrid w:val="0"/>
                    <w:spacing w:line="288" w:lineRule="auto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3.毛泽东思想和中国特色社会主义理论体系概论</w:t>
                  </w:r>
                </w:p>
                <w:p>
                  <w:pPr>
                    <w:adjustRightInd w:val="0"/>
                    <w:snapToGrid w:val="0"/>
                    <w:spacing w:line="288" w:lineRule="auto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4</w:t>
                  </w:r>
                  <w:r>
                    <w:rPr>
                      <w:sz w:val="18"/>
                      <w:szCs w:val="18"/>
                    </w:rPr>
                    <w:t>.</w:t>
                  </w:r>
                  <w:r>
                    <w:rPr>
                      <w:rFonts w:hint="eastAsia"/>
                      <w:sz w:val="18"/>
                      <w:szCs w:val="18"/>
                    </w:rPr>
                    <w:t>习近平新时代中国特色社会主义思想概论</w:t>
                  </w:r>
                </w:p>
                <w:p>
                  <w:pPr>
                    <w:adjustRightInd w:val="0"/>
                    <w:snapToGrid w:val="0"/>
                    <w:spacing w:line="288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.马克思主义基本原理 </w:t>
                  </w:r>
                  <w:r>
                    <w:rPr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 </w:t>
                  </w:r>
                  <w:r>
                    <w:rPr>
                      <w:sz w:val="18"/>
                      <w:szCs w:val="18"/>
                    </w:rPr>
                    <w:t xml:space="preserve"> 6</w:t>
                  </w:r>
                  <w:r>
                    <w:rPr>
                      <w:rFonts w:hint="eastAsia"/>
                      <w:sz w:val="18"/>
                      <w:szCs w:val="18"/>
                    </w:rPr>
                    <w:t>.形势与政策</w:t>
                  </w:r>
                </w:p>
                <w:p>
                  <w:pPr>
                    <w:adjustRightInd w:val="0"/>
                    <w:snapToGrid w:val="0"/>
                    <w:spacing w:line="288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7.体育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    </w:t>
                  </w:r>
                  <w:r>
                    <w:rPr>
                      <w:sz w:val="18"/>
                      <w:szCs w:val="18"/>
                    </w:rPr>
                    <w:t xml:space="preserve"> 8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.大学英语     </w:t>
                  </w:r>
                  <w:r>
                    <w:rPr>
                      <w:sz w:val="18"/>
                      <w:szCs w:val="18"/>
                    </w:rPr>
                    <w:t>9</w:t>
                  </w:r>
                  <w:r>
                    <w:rPr>
                      <w:rFonts w:hint="eastAsia"/>
                      <w:sz w:val="18"/>
                      <w:szCs w:val="18"/>
                    </w:rPr>
                    <w:t>.大学信息技术</w:t>
                  </w:r>
                </w:p>
                <w:p>
                  <w:pPr>
                    <w:adjustRightInd w:val="0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  <w:r>
                    <w:rPr>
                      <w:rFonts w:hint="eastAsia"/>
                      <w:sz w:val="18"/>
                      <w:szCs w:val="18"/>
                    </w:rPr>
                    <w:t>.职业发展   1</w:t>
                  </w:r>
                  <w:r>
                    <w:rPr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.就业指导  </w:t>
                  </w:r>
                  <w:r>
                    <w:rPr>
                      <w:sz w:val="18"/>
                      <w:szCs w:val="18"/>
                    </w:rPr>
                    <w:t xml:space="preserve"> 12.</w:t>
                  </w:r>
                  <w:r>
                    <w:rPr>
                      <w:rFonts w:hint="eastAsia"/>
                      <w:sz w:val="18"/>
                      <w:szCs w:val="18"/>
                    </w:rPr>
                    <w:t>大学生安全教育</w:t>
                  </w:r>
                </w:p>
                <w:p>
                  <w:pPr>
                    <w:adjustRightInd w:val="0"/>
                    <w:snapToGrid w:val="0"/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3.</w:t>
                  </w:r>
                  <w:r>
                    <w:rPr>
                      <w:rFonts w:hint="eastAsia"/>
                      <w:sz w:val="18"/>
                      <w:szCs w:val="18"/>
                    </w:rPr>
                    <w:t>大学生心理健康</w:t>
                  </w: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shape id="_x0000_s1065" o:spid="_x0000_s1065" o:spt="202" type="#_x0000_t202" style="position:absolute;left:0pt;margin-left:2.7pt;margin-top:29.75pt;height:609.8pt;width:43.2pt;z-index:251661312;mso-width-relative:page;mso-height-relative:page;" coordsize="21600,21600">
            <v:path/>
            <v:fill focussize="0,0"/>
            <v:stroke joinstyle="miter"/>
            <v:imagedata o:title=""/>
            <o:lock v:ext="edit"/>
            <v:textbox style="layout-flow:vertical-ideographic;">
              <w:txbxContent>
                <w:p>
                  <w:pPr>
                    <w:spacing w:line="360" w:lineRule="auto"/>
                    <w:jc w:val="center"/>
                    <w:rPr>
                      <w:b/>
                      <w:spacing w:val="60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pacing w:val="60"/>
                      <w:sz w:val="28"/>
                      <w:szCs w:val="28"/>
                    </w:rPr>
                    <w:t>课程体系结构图</w:t>
                  </w: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shape id="_x0000_s1064" o:spid="_x0000_s1064" o:spt="202" type="#_x0000_t202" style="position:absolute;left:0pt;margin-left:78.3pt;margin-top:29.75pt;height:134.15pt;width:27pt;z-index:2516623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</w:p>
                <w:p>
                  <w:pPr>
                    <w:jc w:val="center"/>
                    <w:rPr>
                      <w:szCs w:val="21"/>
                    </w:rPr>
                  </w:pP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通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识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教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育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</w:p>
              </w:txbxContent>
            </v:textbox>
          </v:shap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shape id="_x0000_s1063" o:spid="_x0000_s1063" o:spt="202" type="#_x0000_t202" style="position:absolute;left:0pt;margin-left:132.75pt;margin-top:10.95pt;height:62.65pt;width:30.6pt;z-index:2516930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  <w:p>
                  <w:pPr>
                    <w:snapToGrid w:val="0"/>
                    <w:spacing w:line="360" w:lineRule="auto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 必</w:t>
                  </w:r>
                </w:p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修</w:t>
                  </w:r>
                </w:p>
              </w:txbxContent>
            </v:textbox>
          </v:shap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line id="_x0000_s1062" o:spid="_x0000_s1062" o:spt="20" style="position:absolute;left:0pt;flip:y;margin-left:163.7pt;margin-top:11.85pt;height:0pt;width:18.55pt;z-index:25167769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/>
          <w:b/>
          <w:bCs/>
          <w:sz w:val="32"/>
          <w:szCs w:val="32"/>
        </w:rPr>
        <w:pict>
          <v:line id="_x0000_s1061" o:spid="_x0000_s1061" o:spt="20" style="position:absolute;left:0pt;margin-left:104.85pt;margin-top:12.3pt;height:0pt;width:27pt;z-index:2516664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line id="_x0000_s1060" o:spid="_x0000_s1060" o:spt="20" style="position:absolute;left:0pt;margin-left:44.85pt;margin-top:12.7pt;height:0pt;width:32.85pt;z-index:25169715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shape id="_x0000_s1059" o:spid="_x0000_s1059" o:spt="202" type="#_x0000_t202" style="position:absolute;left:0pt;margin-left:184.5pt;margin-top:11.35pt;height:37.75pt;width:233.1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综合素质类公共选修课（含创新创业基础课和公共艺术选修课各</w:t>
                  </w:r>
                  <w:r>
                    <w:rPr>
                      <w:sz w:val="18"/>
                      <w:szCs w:val="18"/>
                    </w:rPr>
                    <w:t>2学分）</w:t>
                  </w: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line id="_x0000_s1058" o:spid="_x0000_s1058" o:spt="20" style="position:absolute;left:0pt;margin-left:105.75pt;margin-top:28.75pt;height:0pt;width:27pt;z-index:2516684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/>
          <w:b/>
          <w:bCs/>
          <w:sz w:val="32"/>
          <w:szCs w:val="32"/>
        </w:rPr>
        <w:pict>
          <v:shape id="_x0000_s1057" o:spid="_x0000_s1057" o:spt="202" type="#_x0000_t202" style="position:absolute;left:0pt;margin-left:133.5pt;margin-top:7.95pt;height:40.9pt;width:30.6pt;z-index:2516940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选</w:t>
                  </w:r>
                </w:p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修</w:t>
                  </w: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line id="_x0000_s1056" o:spid="_x0000_s1056" o:spt="20" style="position:absolute;left:0pt;flip:y;margin-left:164.9pt;margin-top:27.9pt;height:0pt;width:18.55pt;z-index:25169510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shape id="_x0000_s1055" o:spid="_x0000_s1055" o:spt="202" type="#_x0000_t202" style="position:absolute;left:0pt;margin-left:184.5pt;margin-top:26.3pt;height:40.6pt;width:232.2pt;z-index:2516807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1.设计美学 </w:t>
                  </w:r>
                  <w:r>
                    <w:rPr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.设计基础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  <w:r>
                    <w:rPr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.首饰设计专业绘图</w:t>
                  </w:r>
                  <w:r>
                    <w:rPr>
                      <w:sz w:val="18"/>
                      <w:szCs w:val="18"/>
                      <w:lang w:eastAsia="zh-Hans"/>
                    </w:rPr>
                    <w:t xml:space="preserve"> 4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.钻石和钻石分级</w:t>
                  </w:r>
                  <w:r>
                    <w:rPr>
                      <w:sz w:val="18"/>
                      <w:szCs w:val="18"/>
                      <w:lang w:eastAsia="zh-Hans"/>
                    </w:rPr>
                    <w:t xml:space="preserve"> 5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.摄影基础</w:t>
                  </w:r>
                  <w:r>
                    <w:rPr>
                      <w:sz w:val="18"/>
                      <w:szCs w:val="18"/>
                      <w:lang w:eastAsia="zh-Hans"/>
                    </w:rPr>
                    <w:t xml:space="preserve"> 6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.珠宝市场营销</w:t>
                  </w:r>
                  <w:r>
                    <w:rPr>
                      <w:sz w:val="18"/>
                      <w:szCs w:val="18"/>
                      <w:lang w:eastAsia="zh-Hans"/>
                    </w:rPr>
                    <w:t xml:space="preserve"> 7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.专业写作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 xml:space="preserve">       2.首饰制作（2）</w:t>
                  </w:r>
                </w:p>
                <w:p>
                  <w:pPr>
                    <w:rPr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 xml:space="preserve">3.钻石和钻石分级   4.摄影基础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5.珠宝市场营销</w:t>
                  </w: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shape id="_x0000_s1054" o:spid="_x0000_s1054" o:spt="202" type="#_x0000_t202" style="position:absolute;left:0pt;margin-left:78.3pt;margin-top:21.4pt;height:113.8pt;width:27.4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1mm,0mm,0mm,0mm">
              <w:txbxContent>
                <w:p>
                  <w:pPr>
                    <w:jc w:val="center"/>
                  </w:pPr>
                </w:p>
                <w:p>
                  <w:pPr>
                    <w:jc w:val="center"/>
                    <w:rPr>
                      <w:lang w:eastAsia="zh-Hans"/>
                    </w:rPr>
                  </w:pPr>
                  <w:r>
                    <w:rPr>
                      <w:rFonts w:hint="eastAsia"/>
                      <w:lang w:eastAsia="zh-Hans"/>
                    </w:rPr>
                    <w:t>学科基础课程</w:t>
                  </w: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shape id="_x0000_s1053" o:spid="_x0000_s1053" o:spt="202" type="#_x0000_t202" style="position:absolute;left:0pt;margin-left:132.45pt;margin-top:26.7pt;height:46.4pt;width:30.6pt;z-index:2516910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必</w:t>
                  </w:r>
                </w:p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修</w:t>
                  </w:r>
                </w:p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line id="_x0000_s1052" o:spid="_x0000_s1052" o:spt="20" style="position:absolute;left:0pt;flip:y;margin-left:164.1pt;margin-top:20.2pt;height:0pt;width:19.5pt;z-index:2516817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/>
          <w:b/>
          <w:bCs/>
          <w:sz w:val="32"/>
          <w:szCs w:val="32"/>
        </w:rPr>
        <w:pict>
          <v:line id="_x0000_s1051" o:spid="_x0000_s1051" o:spt="20" style="position:absolute;left:0pt;flip:y;margin-left:104.85pt;margin-top:18.85pt;height:0pt;width:27pt;z-index:2516797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shape id="_x0000_s1050" o:spid="_x0000_s1050" o:spt="202" type="#_x0000_t202" style="position:absolute;left:0pt;margin-left:184.3pt;margin-top:13.35pt;height:82.95pt;width:231.75pt;z-index:25168384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1.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 xml:space="preserve">陶瓷首饰设计   2.陶艺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3.珠宝首饰品牌</w:t>
                  </w:r>
                </w:p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 xml:space="preserve">4.时尚饰品品牌与鉴赏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5.宝石各论1</w:t>
                  </w:r>
                </w:p>
                <w:p>
                  <w:pPr>
                    <w:rPr>
                      <w:sz w:val="18"/>
                      <w:szCs w:val="18"/>
                      <w:lang w:eastAsia="zh-Hans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6.宝石各论2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hint="eastAsia"/>
                      <w:sz w:val="18"/>
                      <w:szCs w:val="18"/>
                    </w:rPr>
                    <w:t>7.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工艺美术史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8.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中外工艺美术概论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9.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珠宝设计软件</w:t>
                  </w:r>
                  <w:r>
                    <w:rPr>
                      <w:sz w:val="18"/>
                      <w:szCs w:val="18"/>
                      <w:lang w:eastAsia="zh-Hans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一</w:t>
                  </w:r>
                  <w:r>
                    <w:rPr>
                      <w:sz w:val="18"/>
                      <w:szCs w:val="18"/>
                      <w:lang w:eastAsia="zh-Hans"/>
                    </w:rPr>
                    <w:t>）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   10.JewelCAD  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.专业英语            1</w:t>
                  </w:r>
                  <w:r>
                    <w:rPr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.珠宝商务英语与应用</w:t>
                  </w: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line id="_x0000_s1049" o:spid="_x0000_s1049" o:spt="20" style="position:absolute;left:0pt;margin-left:45.6pt;margin-top:16.45pt;height:0pt;width:32.85pt;z-index:2516981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8"/>
        <w:tabs>
          <w:tab w:val="left" w:pos="3591"/>
          <w:tab w:val="center" w:pos="4153"/>
        </w:tabs>
        <w:spacing w:line="440" w:lineRule="atLeast"/>
        <w:ind w:left="0" w:firstLine="0"/>
        <w:jc w:val="left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line id="_x0000_s1048" o:spid="_x0000_s1048" o:spt="20" style="position:absolute;left:0pt;flip:y;margin-left:163.7pt;margin-top:30.55pt;height:0pt;width:19.9pt;z-index:2516848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/>
          <w:b/>
          <w:bCs/>
          <w:sz w:val="32"/>
          <w:szCs w:val="32"/>
        </w:rPr>
        <w:pict>
          <v:line id="_x0000_s1047" o:spid="_x0000_s1047" o:spt="20" style="position:absolute;left:0pt;flip:y;margin-left:105.3pt;margin-top:29.95pt;height:0pt;width:28.55pt;z-index:25168281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/>
          <w:b/>
          <w:bCs/>
          <w:sz w:val="32"/>
          <w:szCs w:val="32"/>
        </w:rPr>
        <w:pict>
          <v:shape id="_x0000_s1046" o:spid="_x0000_s1046" o:spt="202" type="#_x0000_t202" style="position:absolute;left:0pt;margin-left:133.4pt;margin-top:5.9pt;height:42.55pt;width:29.85pt;z-index:25169203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选</w:t>
                  </w:r>
                </w:p>
                <w:p>
                  <w:pPr>
                    <w:snapToGrid w:val="0"/>
                    <w:spacing w:line="360" w:lineRule="auto"/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修</w:t>
                  </w:r>
                </w:p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tab/>
      </w:r>
      <w:r>
        <w:rPr>
          <w:rFonts w:ascii="楷体_GB2312"/>
          <w:b/>
          <w:bCs/>
          <w:sz w:val="32"/>
          <w:szCs w:val="32"/>
        </w:rPr>
        <w:tab/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shape id="_x0000_s1045" o:spid="_x0000_s1045" o:spt="202" type="#_x0000_t202" style="position:absolute;left:0pt;margin-left:184.3pt;margin-top:12.5pt;height:88.75pt;width:233.1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1.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首饰制作</w:t>
                  </w:r>
                  <w:r>
                    <w:rPr>
                      <w:sz w:val="18"/>
                      <w:szCs w:val="18"/>
                      <w:lang w:eastAsia="zh-Hans"/>
                    </w:rPr>
                    <w:t>（2）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       2.首饰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专题</w:t>
                  </w:r>
                  <w:r>
                    <w:rPr>
                      <w:rFonts w:hint="eastAsia"/>
                      <w:sz w:val="18"/>
                      <w:szCs w:val="18"/>
                    </w:rPr>
                    <w:t>设计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3.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玉雕造型</w:t>
                  </w:r>
                  <w:r>
                    <w:rPr>
                      <w:rFonts w:hint="eastAsia"/>
                      <w:sz w:val="18"/>
                      <w:szCs w:val="18"/>
                    </w:rPr>
                    <w:t>设计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与工艺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  4.首饰制作（3）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5.首饰特殊工艺（1）      6.首饰综合材料设计与工艺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7.首饰特殊工艺（2）     8.珠宝设计软件（二）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9.首饰设计与工艺实践    10.商业首饰设计</w:t>
                  </w: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shape id="_x0000_s1044" o:spid="_x0000_s1044" o:spt="202" type="#_x0000_t202" style="position:absolute;left:0pt;margin-left:78.75pt;margin-top:12.6pt;height:201.35pt;width:27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  <w:p>
                  <w:pPr>
                    <w:jc w:val="center"/>
                  </w:pPr>
                </w:p>
                <w:p>
                  <w:pPr>
                    <w:jc w:val="center"/>
                  </w:pP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专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业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课程</w:t>
                  </w:r>
                </w:p>
                <w:p>
                  <w:pPr>
                    <w:jc w:val="center"/>
                    <w:rPr>
                      <w:szCs w:val="21"/>
                    </w:rPr>
                  </w:pPr>
                </w:p>
              </w:txbxContent>
            </v:textbox>
          </v:shap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shape id="_x0000_s1043" o:spid="_x0000_s1043" o:spt="202" type="#_x0000_t202" style="position:absolute;left:0pt;margin-left:134.1pt;margin-top:8.35pt;height:61.95pt;width:29.25pt;z-index:2516787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必修</w:t>
                  </w:r>
                </w:p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line id="_x0000_s1042" o:spid="_x0000_s1042" o:spt="20" style="position:absolute;left:0pt;margin-left:105.75pt;margin-top:7.75pt;height:0pt;width:28.35pt;z-index:2516858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/>
          <w:b/>
          <w:bCs/>
          <w:sz w:val="32"/>
          <w:szCs w:val="32"/>
        </w:rPr>
        <w:pict>
          <v:line id="_x0000_s1041" o:spid="_x0000_s1041" o:spt="20" style="position:absolute;left:0pt;margin-left:160.65pt;margin-top:7.3pt;height:0pt;width:23.85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shape id="_x0000_s1040" o:spid="_x0000_s1040" o:spt="202" type="#_x0000_t202" style="position:absolute;left:0pt;margin-left:189.15pt;margin-top:15.3pt;height:104.85pt;width:227.25pt;z-index:2516899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1.电脑图像处理与应用  2.电脑图形处理与应用  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3.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电脑辅助三维设计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  4. 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三维设计软件基础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</w:t>
                  </w:r>
                </w:p>
                <w:p>
                  <w:pPr>
                    <w:rPr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5.首饰蜡雕            6.蜡雕基础与失蜡浇铸</w:t>
                  </w:r>
                </w:p>
                <w:p>
                  <w:pPr>
                    <w:rPr>
                      <w:sz w:val="18"/>
                      <w:szCs w:val="18"/>
                      <w:lang w:eastAsia="zh-Hans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7.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宝石学与宝石鉴定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  8.</w:t>
                  </w: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宝石鉴定基础</w:t>
                  </w:r>
                </w:p>
                <w:p>
                  <w:pPr>
                    <w:rPr>
                      <w:rFonts w:hint="default" w:eastAsia="宋体"/>
                      <w:sz w:val="18"/>
                      <w:szCs w:val="18"/>
                      <w:lang w:val="en-US" w:eastAsia="zh-Hans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eastAsia="zh-Hans"/>
                    </w:rPr>
                    <w:t>9</w:t>
                  </w:r>
                  <w:r>
                    <w:rPr>
                      <w:sz w:val="18"/>
                      <w:szCs w:val="18"/>
                      <w:lang w:eastAsia="zh-Hans"/>
                    </w:rPr>
                    <w:t>.</w:t>
                  </w:r>
                  <w:r>
                    <w:rPr>
                      <w:rFonts w:hint="eastAsia"/>
                      <w:sz w:val="18"/>
                      <w:szCs w:val="18"/>
                    </w:rPr>
                    <w:t>宝石加工工艺学</w:t>
                  </w:r>
                  <w:r>
                    <w:rPr>
                      <w:rFonts w:hint="default"/>
                      <w:sz w:val="18"/>
                      <w:szCs w:val="18"/>
                    </w:rPr>
                    <w:t xml:space="preserve">      10</w:t>
                  </w:r>
                  <w:r>
                    <w:rPr>
                      <w:rFonts w:hint="eastAsia"/>
                      <w:sz w:val="18"/>
                      <w:szCs w:val="18"/>
                      <w:lang w:val="en-US" w:eastAsia="zh-Hans"/>
                    </w:rPr>
                    <w:t>.宝石切磨</w:t>
                  </w:r>
                </w:p>
                <w:p>
                  <w:pPr>
                    <w:rPr>
                      <w:sz w:val="18"/>
                      <w:szCs w:val="18"/>
                      <w:lang w:eastAsia="zh-Hans"/>
                    </w:rPr>
                  </w:pP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line id="_x0000_s1039" o:spid="_x0000_s1039" o:spt="20" style="position:absolute;left:0pt;margin-left:45.45pt;margin-top:5.05pt;height:0pt;width:32.85pt;z-index:2516992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shape id="_x0000_s1038" o:spid="_x0000_s1038" o:spt="202" type="#_x0000_t202" style="position:absolute;left:0pt;margin-left:133.7pt;margin-top:22.7pt;height:42.55pt;width:29.85pt;z-index:25169612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选</w:t>
                  </w:r>
                </w:p>
                <w:p>
                  <w:pPr>
                    <w:snapToGrid w:val="0"/>
                    <w:spacing w:line="360" w:lineRule="auto"/>
                    <w:jc w:val="center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修</w:t>
                  </w:r>
                </w:p>
                <w:p>
                  <w:pPr>
                    <w:snapToGrid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line id="_x0000_s1037" o:spid="_x0000_s1037" o:spt="20" style="position:absolute;left:0pt;margin-left:163.95pt;margin-top:14.2pt;height:0pt;width:24.45pt;z-index:2516879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/>
          <w:b/>
          <w:bCs/>
          <w:sz w:val="32"/>
          <w:szCs w:val="32"/>
        </w:rPr>
        <w:pict>
          <v:line id="_x0000_s1036" o:spid="_x0000_s1036" o:spt="20" style="position:absolute;left:0pt;margin-left:105.3pt;margin-top:14.2pt;height:0pt;width:27.45pt;z-index:2516869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</w:p>
    <w:p>
      <w:pPr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shape id="_x0000_s1035" o:spid="_x0000_s1035" o:spt="202" type="#_x0000_t202" style="position:absolute;left:0pt;margin-left:192.15pt;margin-top:3.95pt;height:50.75pt;width:225pt;z-index:2516766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  <w:spacing w:line="288" w:lineRule="auto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1.军训</w:t>
                  </w:r>
                  <w:r>
                    <w:rPr>
                      <w:sz w:val="18"/>
                      <w:szCs w:val="18"/>
                    </w:rPr>
                    <w:t>与军事理论</w:t>
                  </w:r>
                  <w:r>
                    <w:rPr>
                      <w:rFonts w:hint="eastAsia"/>
                      <w:sz w:val="18"/>
                      <w:szCs w:val="18"/>
                    </w:rPr>
                    <w:t xml:space="preserve">       2.普通话水平测试 </w:t>
                  </w:r>
                </w:p>
                <w:p>
                  <w:pPr>
                    <w:adjustRightInd w:val="0"/>
                    <w:snapToGrid w:val="0"/>
                    <w:spacing w:line="288" w:lineRule="auto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3.劳动教育 </w:t>
                  </w:r>
                  <w:r>
                    <w:rPr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hint="eastAsia"/>
                      <w:sz w:val="18"/>
                      <w:szCs w:val="18"/>
                    </w:rPr>
                    <w:t>4.创新创业综合实践</w:t>
                  </w:r>
                </w:p>
                <w:p>
                  <w:pPr>
                    <w:adjustRightInd w:val="0"/>
                    <w:snapToGrid w:val="0"/>
                    <w:spacing w:line="288" w:lineRule="auto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5.创新创业讲座</w:t>
                  </w:r>
                </w:p>
              </w:txbxContent>
            </v:textbox>
          </v:shape>
        </w:pict>
      </w:r>
      <w:r>
        <w:rPr>
          <w:rFonts w:ascii="楷体_GB2312" w:eastAsia="楷体_GB2312"/>
          <w:b/>
          <w:bCs/>
          <w:sz w:val="32"/>
          <w:szCs w:val="32"/>
        </w:rPr>
        <w:pict>
          <v:shape id="_x0000_s1034" o:spid="_x0000_s1034" o:spt="202" type="#_x0000_t202" style="position:absolute;left:0pt;margin-left:120.15pt;margin-top:18.5pt;height:25.45pt;width:54.55pt;z-index:2516746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综合实践</w:t>
                  </w: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line id="_x0000_s1033" o:spid="_x0000_s1033" o:spt="20" style="position:absolute;left:0pt;margin-left:175.45pt;margin-top:28.65pt;height:0pt;width:16.7pt;z-index:25170022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/>
          <w:b/>
          <w:bCs/>
          <w:sz w:val="32"/>
          <w:szCs w:val="32"/>
        </w:rPr>
        <w:pict>
          <v:line id="_x0000_s1032" o:spid="_x0000_s1032" o:spt="20" style="position:absolute;left:0pt;margin-left:105.75pt;margin-top:29.95pt;height:0pt;width:15.75pt;z-index:2516889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  <w:b/>
          <w:bCs/>
          <w:sz w:val="32"/>
          <w:szCs w:val="32"/>
        </w:rPr>
        <w:pict>
          <v:shape id="_x0000_s1031" o:spid="_x0000_s1031" o:spt="202" type="#_x0000_t202" style="position:absolute;left:0pt;margin-left:78.75pt;margin-top:3.95pt;height:105.2pt;width:27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集中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实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践</w:t>
                  </w:r>
                </w:p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环</w:t>
                  </w:r>
                </w:p>
                <w:p>
                  <w:pPr>
                    <w:rPr>
                      <w:color w:val="FF0000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节</w:t>
                  </w:r>
                </w:p>
              </w:txbxContent>
            </v:textbox>
          </v:shap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line id="_x0000_s1030" o:spid="_x0000_s1030" o:spt="20" style="position:absolute;left:0pt;margin-left:45.9pt;margin-top:27.25pt;height:0pt;width:32.85pt;z-index:2516725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8"/>
        <w:spacing w:line="440" w:lineRule="atLeast"/>
        <w:ind w:left="0" w:firstLine="0"/>
        <w:jc w:val="center"/>
        <w:rPr>
          <w:rFonts w:ascii="楷体_GB2312"/>
          <w:b/>
          <w:bCs/>
          <w:sz w:val="32"/>
          <w:szCs w:val="32"/>
        </w:rPr>
      </w:pPr>
      <w:r>
        <w:rPr>
          <w:rFonts w:ascii="楷体_GB2312"/>
          <w:b/>
          <w:bCs/>
          <w:sz w:val="32"/>
          <w:szCs w:val="32"/>
        </w:rPr>
        <w:pict>
          <v:shape id="_x0000_s1029" o:spid="_x0000_s1029" o:spt="202" type="#_x0000_t202" style="position:absolute;left:0pt;margin-left:191.25pt;margin-top:1pt;height:50.6pt;width:225pt;z-index:25167052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adjustRightInd w:val="0"/>
                    <w:snapToGrid w:val="0"/>
                    <w:spacing w:line="288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1.产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 xml:space="preserve">品设计（珠宝首饰设计）专业实习  </w:t>
                  </w:r>
                </w:p>
                <w:p>
                  <w:pPr>
                    <w:adjustRightInd w:val="0"/>
                    <w:snapToGrid w:val="0"/>
                    <w:spacing w:line="288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2.珠宝职业资格证书</w:t>
                  </w:r>
                </w:p>
                <w:p>
                  <w:pPr>
                    <w:adjustRightInd w:val="0"/>
                    <w:snapToGrid w:val="0"/>
                    <w:spacing w:line="288" w:lineRule="auto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3.毕业设计               4.毕业</w:t>
                  </w:r>
                  <w:r>
                    <w:rPr>
                      <w:rFonts w:hint="eastAsia"/>
                      <w:sz w:val="18"/>
                      <w:szCs w:val="18"/>
                    </w:rPr>
                    <w:t>实习</w:t>
                  </w: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shape id="_x0000_s1028" o:spid="_x0000_s1028" o:spt="202" type="#_x0000_t202" style="position:absolute;left:0pt;margin-left:121.95pt;margin-top:15.95pt;height:22.85pt;width:54.1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专业实践</w:t>
                  </w:r>
                </w:p>
              </w:txbxContent>
            </v:textbox>
          </v:shape>
        </w:pict>
      </w:r>
      <w:r>
        <w:rPr>
          <w:rFonts w:ascii="楷体_GB2312"/>
          <w:b/>
          <w:bCs/>
          <w:sz w:val="32"/>
          <w:szCs w:val="32"/>
        </w:rPr>
        <w:pict>
          <v:line id="_x0000_s1027" o:spid="_x0000_s1027" o:spt="20" style="position:absolute;left:0pt;margin-left:174.7pt;margin-top:25.65pt;height:0pt;width:18.2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/>
          <w:b/>
          <w:bCs/>
          <w:sz w:val="32"/>
          <w:szCs w:val="32"/>
        </w:rPr>
        <w:pict>
          <v:line id="_x0000_s1026" o:spid="_x0000_s1026" o:spt="20" style="position:absolute;left:0pt;margin-left:104.85pt;margin-top:26.1pt;height:0pt;width:16.65pt;z-index:2516736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pStyle w:val="58"/>
        <w:spacing w:line="440" w:lineRule="atLeast"/>
        <w:ind w:left="0" w:firstLine="0"/>
        <w:rPr>
          <w:rFonts w:ascii="楷体_GB2312"/>
          <w:b/>
          <w:bCs/>
          <w:sz w:val="32"/>
          <w:szCs w:val="32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hAnsi="楷体" w:eastAsia="楷体_GB2312"/>
          <w:b/>
        </w:rPr>
      </w:pPr>
    </w:p>
    <w:p>
      <w:pPr>
        <w:tabs>
          <w:tab w:val="left" w:pos="4200"/>
        </w:tabs>
        <w:spacing w:line="360" w:lineRule="auto"/>
        <w:outlineLvl w:val="0"/>
        <w:rPr>
          <w:rFonts w:hint="eastAsia" w:ascii="黑体" w:hAnsi="黑体" w:eastAsia="黑体"/>
          <w:bCs/>
          <w:lang w:val="en-US" w:eastAsia="zh-Hans"/>
        </w:rPr>
      </w:pPr>
      <w:r>
        <w:rPr>
          <w:rFonts w:hint="eastAsia" w:ascii="黑体" w:hAnsi="黑体" w:eastAsia="黑体"/>
          <w:bCs/>
          <w:lang w:val="en-US" w:eastAsia="zh-Hans"/>
        </w:rPr>
        <w:t>七、教学计划表</w:t>
      </w:r>
    </w:p>
    <w:p>
      <w:pPr>
        <w:tabs>
          <w:tab w:val="left" w:pos="4200"/>
        </w:tabs>
        <w:spacing w:line="360" w:lineRule="auto"/>
        <w:outlineLvl w:val="0"/>
        <w:rPr>
          <w:rFonts w:hint="eastAsia" w:ascii="仿宋_GB2312" w:hAnsi="仿宋_GB2312" w:eastAsia="仿宋_GB2312"/>
          <w:b/>
        </w:rPr>
      </w:pPr>
      <w:r>
        <w:rPr>
          <w:rFonts w:hint="eastAsia" w:ascii="仿宋_GB2312" w:hAnsi="仿宋_GB2312" w:eastAsia="仿宋_GB2312"/>
          <w:b/>
        </w:rPr>
        <w:t>（见附件1）</w:t>
      </w: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hint="eastAsia" w:ascii="仿宋_GB2312" w:hAnsi="仿宋_GB2312" w:eastAsia="仿宋_GB2312"/>
          <w:b/>
          <w:color w:val="auto"/>
        </w:rPr>
      </w:pPr>
      <w:r>
        <w:rPr>
          <w:rFonts w:ascii="黑体" w:hAnsi="黑体" w:eastAsia="黑体"/>
          <w:bCs/>
          <w:color w:val="auto"/>
        </w:rPr>
        <w:t>课程体系</w:t>
      </w:r>
      <w:r>
        <w:rPr>
          <w:rFonts w:hint="eastAsia" w:ascii="黑体" w:hAnsi="黑体" w:eastAsia="黑体"/>
          <w:bCs/>
          <w:color w:val="auto"/>
        </w:rPr>
        <w:t>与毕业</w:t>
      </w:r>
      <w:r>
        <w:rPr>
          <w:rFonts w:ascii="黑体" w:hAnsi="黑体" w:eastAsia="黑体"/>
          <w:bCs/>
          <w:color w:val="auto"/>
        </w:rPr>
        <w:t>要求</w:t>
      </w:r>
      <w:r>
        <w:rPr>
          <w:rFonts w:hint="eastAsia" w:ascii="黑体" w:hAnsi="黑体" w:eastAsia="黑体"/>
          <w:bCs/>
          <w:color w:val="auto"/>
        </w:rPr>
        <w:t>支撑关系矩阵</w:t>
      </w:r>
    </w:p>
    <w:tbl>
      <w:tblPr>
        <w:tblStyle w:val="19"/>
        <w:tblpPr w:leftFromText="180" w:rightFromText="180" w:vertAnchor="text" w:horzAnchor="page" w:tblpX="1065" w:tblpY="471"/>
        <w:tblOverlap w:val="never"/>
        <w:tblW w:w="543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565"/>
        <w:gridCol w:w="298"/>
        <w:gridCol w:w="298"/>
        <w:gridCol w:w="299"/>
        <w:gridCol w:w="297"/>
        <w:gridCol w:w="302"/>
        <w:gridCol w:w="299"/>
        <w:gridCol w:w="297"/>
        <w:gridCol w:w="297"/>
        <w:gridCol w:w="298"/>
        <w:gridCol w:w="297"/>
        <w:gridCol w:w="302"/>
        <w:gridCol w:w="297"/>
        <w:gridCol w:w="297"/>
        <w:gridCol w:w="298"/>
        <w:gridCol w:w="297"/>
        <w:gridCol w:w="297"/>
        <w:gridCol w:w="298"/>
        <w:gridCol w:w="297"/>
        <w:gridCol w:w="297"/>
        <w:gridCol w:w="301"/>
        <w:gridCol w:w="297"/>
        <w:gridCol w:w="298"/>
        <w:gridCol w:w="297"/>
        <w:gridCol w:w="299"/>
        <w:gridCol w:w="298"/>
        <w:gridCol w:w="297"/>
        <w:gridCol w:w="299"/>
        <w:gridCol w:w="298"/>
        <w:gridCol w:w="297"/>
        <w:gridCol w:w="306"/>
      </w:tblGrid>
      <w:tr>
        <w:trPr>
          <w:trHeight w:val="455" w:hRule="atLeast"/>
          <w:tblHeader/>
        </w:trPr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bCs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auto"/>
                <w:sz w:val="18"/>
                <w:szCs w:val="18"/>
              </w:rPr>
              <w:t>课程体系</w:t>
            </w:r>
          </w:p>
        </w:tc>
        <w:tc>
          <w:tcPr>
            <w:tcW w:w="8919" w:type="dxa"/>
            <w:gridSpan w:val="3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/>
                <w:color w:val="auto"/>
                <w:sz w:val="18"/>
                <w:szCs w:val="18"/>
              </w:rPr>
              <w:t>毕业要求</w:t>
            </w:r>
          </w:p>
        </w:tc>
      </w:tr>
      <w:tr>
        <w:trPr>
          <w:trHeight w:val="873" w:hRule="atLeast"/>
          <w:tblHeader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auto"/>
                <w:sz w:val="18"/>
                <w:szCs w:val="18"/>
                <w:lang w:bidi="ar"/>
              </w:rPr>
            </w:pPr>
          </w:p>
        </w:tc>
        <w:tc>
          <w:tcPr>
            <w:tcW w:w="148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color w:val="auto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LO1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color w:val="auto"/>
                <w:sz w:val="16"/>
                <w:szCs w:val="16"/>
              </w:rPr>
              <w:t>品德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color w:val="auto"/>
                <w:sz w:val="16"/>
                <w:szCs w:val="16"/>
              </w:rPr>
              <w:t>修养</w:t>
            </w:r>
          </w:p>
        </w:tc>
        <w:tc>
          <w:tcPr>
            <w:tcW w:w="1784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O</w:t>
            </w: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2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color w:val="auto"/>
                <w:sz w:val="16"/>
                <w:szCs w:val="16"/>
              </w:rPr>
              <w:t>专业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color w:val="auto"/>
                <w:sz w:val="16"/>
                <w:szCs w:val="16"/>
              </w:rPr>
              <w:t>能力</w:t>
            </w:r>
          </w:p>
        </w:tc>
        <w:tc>
          <w:tcPr>
            <w:tcW w:w="5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color w:val="auto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O3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表达沟通</w:t>
            </w:r>
          </w:p>
        </w:tc>
        <w:tc>
          <w:tcPr>
            <w:tcW w:w="59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O4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自主学习</w:t>
            </w:r>
          </w:p>
        </w:tc>
        <w:tc>
          <w:tcPr>
            <w:tcW w:w="1485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O5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auto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健康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发展</w:t>
            </w:r>
          </w:p>
        </w:tc>
        <w:tc>
          <w:tcPr>
            <w:tcW w:w="1187" w:type="dxa"/>
            <w:gridSpan w:val="4"/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O6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auto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协同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创新</w:t>
            </w:r>
          </w:p>
        </w:tc>
        <w:tc>
          <w:tcPr>
            <w:tcW w:w="89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O7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应用</w:t>
            </w:r>
          </w:p>
        </w:tc>
        <w:tc>
          <w:tcPr>
            <w:tcW w:w="898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auto"/>
                <w:sz w:val="18"/>
                <w:szCs w:val="18"/>
              </w:rPr>
              <w:t>O8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国际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auto"/>
                <w:sz w:val="18"/>
                <w:szCs w:val="18"/>
              </w:rPr>
              <w:t>视野</w:t>
            </w:r>
          </w:p>
        </w:tc>
      </w:tr>
      <w:tr>
        <w:trPr>
          <w:trHeight w:val="455" w:hRule="atLeast"/>
          <w:tblHeader/>
        </w:trPr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auto"/>
                <w:sz w:val="18"/>
                <w:szCs w:val="18"/>
                <w:lang w:bidi="ar"/>
              </w:rPr>
            </w:pPr>
          </w:p>
        </w:tc>
        <w:tc>
          <w:tcPr>
            <w:tcW w:w="297" w:type="dxa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1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3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4</w:t>
            </w: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5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1</w:t>
            </w:r>
          </w:p>
        </w:tc>
        <w:tc>
          <w:tcPr>
            <w:tcW w:w="296" w:type="dxa"/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296" w:type="dxa"/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3</w:t>
            </w:r>
          </w:p>
        </w:tc>
        <w:tc>
          <w:tcPr>
            <w:tcW w:w="297" w:type="dxa"/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4</w:t>
            </w:r>
          </w:p>
        </w:tc>
        <w:tc>
          <w:tcPr>
            <w:tcW w:w="296" w:type="dxa"/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5</w:t>
            </w:r>
          </w:p>
        </w:tc>
        <w:tc>
          <w:tcPr>
            <w:tcW w:w="301" w:type="dxa"/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6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1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1</w:t>
            </w:r>
          </w:p>
        </w:tc>
        <w:tc>
          <w:tcPr>
            <w:tcW w:w="296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1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296" w:type="dxa"/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3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4</w:t>
            </w: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5</w:t>
            </w:r>
          </w:p>
        </w:tc>
        <w:tc>
          <w:tcPr>
            <w:tcW w:w="296" w:type="dxa"/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1</w:t>
            </w:r>
          </w:p>
        </w:tc>
        <w:tc>
          <w:tcPr>
            <w:tcW w:w="297" w:type="dxa"/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3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4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1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3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1</w:t>
            </w:r>
          </w:p>
        </w:tc>
        <w:tc>
          <w:tcPr>
            <w:tcW w:w="296" w:type="dxa"/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305" w:type="dxa"/>
          </w:tcPr>
          <w:p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hint="eastAsia" w:ascii="Arial" w:hAnsi="Arial" w:cs="Arial"/>
                <w:color w:val="auto"/>
                <w:sz w:val="16"/>
                <w:szCs w:val="16"/>
              </w:rPr>
              <w:t>3</w:t>
            </w: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马克思主义基本原理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546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546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中国近现代史纲要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L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思想道德与法治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形势与政策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L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大学英语1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大学英语2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大学英语3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大学英语4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auto"/>
                <w:sz w:val="15"/>
                <w:szCs w:val="15"/>
              </w:rPr>
              <w:t>Ⅰ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auto"/>
                <w:sz w:val="15"/>
                <w:szCs w:val="15"/>
              </w:rPr>
              <w:t>Ⅱ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auto"/>
                <w:sz w:val="15"/>
                <w:szCs w:val="15"/>
              </w:rPr>
              <w:t>Ⅲ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auto"/>
                <w:sz w:val="15"/>
                <w:szCs w:val="15"/>
              </w:rPr>
              <w:t>Ⅳ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大学信息技术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数字媒体基础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职业发展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就业指导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大学生安全教育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大学生心理健康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auto"/>
                <w:sz w:val="15"/>
                <w:szCs w:val="15"/>
                <w:lang w:eastAsia="zh-Hans"/>
              </w:rPr>
            </w:pPr>
            <w:r>
              <w:rPr>
                <w:rFonts w:hint="eastAsia" w:ascii="黑体" w:eastAsia="黑体" w:cs="黑体"/>
                <w:color w:val="auto"/>
                <w:sz w:val="15"/>
                <w:szCs w:val="15"/>
                <w:lang w:eastAsia="zh-Hans"/>
              </w:rPr>
              <w:t>创新创业基础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auto"/>
                <w:sz w:val="15"/>
                <w:szCs w:val="15"/>
                <w:lang w:eastAsia="zh-Hans"/>
              </w:rPr>
            </w:pPr>
            <w:r>
              <w:rPr>
                <w:rFonts w:hint="eastAsia" w:ascii="黑体" w:eastAsia="黑体" w:cs="黑体"/>
                <w:color w:val="auto"/>
                <w:sz w:val="15"/>
                <w:szCs w:val="15"/>
                <w:lang w:eastAsia="zh-Hans"/>
              </w:rPr>
              <w:t>核心素养类选修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auto"/>
                <w:sz w:val="15"/>
                <w:szCs w:val="15"/>
                <w:lang w:eastAsia="zh-Hans"/>
              </w:rPr>
            </w:pPr>
            <w:r>
              <w:rPr>
                <w:rFonts w:hint="eastAsia" w:ascii="Arial" w:hAnsi="Arial" w:cs="Arial" w:eastAsiaTheme="minorEastAsia"/>
                <w:color w:val="auto"/>
                <w:sz w:val="15"/>
                <w:szCs w:val="15"/>
                <w:lang w:eastAsia="zh-Hans"/>
              </w:rPr>
              <w:t>创新创业类选修课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auto"/>
                <w:sz w:val="15"/>
                <w:szCs w:val="15"/>
                <w:lang w:eastAsia="zh-Hans"/>
              </w:rPr>
            </w:pPr>
            <w:r>
              <w:rPr>
                <w:rFonts w:hint="eastAsia" w:ascii="黑体" w:eastAsia="黑体" w:cs="黑体"/>
                <w:color w:val="auto"/>
                <w:sz w:val="15"/>
                <w:szCs w:val="15"/>
                <w:lang w:eastAsia="zh-Hans"/>
              </w:rPr>
              <w:t>公共艺术类选修课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sz w:val="15"/>
                <w:szCs w:val="15"/>
                <w:lang w:val="en-US" w:eastAsia="zh-Hans"/>
              </w:rPr>
            </w:pPr>
            <w:r>
              <w:rPr>
                <w:rFonts w:hint="eastAsia" w:ascii="Arial" w:hAnsi="Arial" w:cs="Arial" w:eastAsiaTheme="minorEastAsia"/>
                <w:color w:val="auto"/>
                <w:sz w:val="15"/>
                <w:szCs w:val="15"/>
                <w:lang w:val="en-US" w:eastAsia="zh-Hans"/>
              </w:rPr>
              <w:t>设计美学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  <w:t>H</w:t>
            </w: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sz w:val="15"/>
                <w:szCs w:val="15"/>
                <w:lang w:val="en-US" w:eastAsia="zh-Hans"/>
              </w:rPr>
            </w:pPr>
            <w:r>
              <w:rPr>
                <w:rFonts w:hint="eastAsia" w:ascii="Arial" w:hAnsi="Arial" w:cs="Arial" w:eastAsiaTheme="minorEastAsia"/>
                <w:color w:val="auto"/>
                <w:sz w:val="15"/>
                <w:szCs w:val="15"/>
                <w:lang w:val="en-US" w:eastAsia="zh-Hans"/>
              </w:rPr>
              <w:t>中外工艺美术概论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L</w:t>
            </w: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auto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auto"/>
                <w:sz w:val="15"/>
                <w:szCs w:val="15"/>
              </w:rPr>
              <w:t>工艺美术史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L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sz w:val="15"/>
                <w:szCs w:val="15"/>
                <w:lang w:val="en-US" w:eastAsia="zh-Hans"/>
              </w:rPr>
            </w:pPr>
            <w:r>
              <w:rPr>
                <w:rFonts w:hint="eastAsia" w:ascii="Arial" w:hAnsi="Arial" w:cs="Arial" w:eastAsiaTheme="minorEastAsia"/>
                <w:color w:val="auto"/>
                <w:sz w:val="15"/>
                <w:szCs w:val="15"/>
                <w:lang w:val="en-US" w:eastAsia="zh-Hans"/>
              </w:rPr>
              <w:t>电脑图像处理与应用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H</w:t>
            </w: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00" w:lineRule="exact"/>
              <w:jc w:val="center"/>
              <w:textAlignment w:val="center"/>
              <w:rPr>
                <w:rFonts w:hint="eastAsia" w:ascii="Arial" w:hAnsi="Arial" w:cs="Arial" w:eastAsiaTheme="minorEastAsia"/>
                <w:color w:val="auto"/>
                <w:sz w:val="15"/>
                <w:szCs w:val="15"/>
                <w:lang w:val="en-US" w:eastAsia="zh-Hans" w:bidi="ar-SA"/>
              </w:rPr>
            </w:pPr>
            <w:r>
              <w:rPr>
                <w:rFonts w:hint="eastAsia" w:ascii="Arial" w:hAnsi="Arial" w:cs="Arial" w:eastAsiaTheme="minorEastAsia"/>
                <w:color w:val="auto"/>
                <w:sz w:val="15"/>
                <w:szCs w:val="15"/>
                <w:lang w:val="en-US" w:eastAsia="zh-Hans"/>
              </w:rPr>
              <w:t>电脑图形处理与应用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H</w:t>
            </w:r>
          </w:p>
        </w:tc>
        <w:tc>
          <w:tcPr>
            <w:tcW w:w="301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Arial" w:hAnsi="Arial" w:cs="Arial" w:eastAsiaTheme="minorEastAsia"/>
                <w:color w:val="auto"/>
                <w:sz w:val="15"/>
                <w:szCs w:val="15"/>
                <w:lang w:val="en-US" w:eastAsia="zh-Hans"/>
              </w:rPr>
            </w:pPr>
            <w:r>
              <w:rPr>
                <w:rFonts w:hint="eastAsia" w:ascii="Arial" w:hAnsi="Arial" w:cs="Arial" w:eastAsiaTheme="minorEastAsia"/>
                <w:color w:val="auto"/>
                <w:sz w:val="15"/>
                <w:szCs w:val="15"/>
              </w:rPr>
              <w:t>设计</w:t>
            </w:r>
            <w:r>
              <w:rPr>
                <w:rFonts w:hint="eastAsia" w:ascii="Arial" w:hAnsi="Arial" w:cs="Arial" w:eastAsiaTheme="minorEastAsia"/>
                <w:color w:val="auto"/>
                <w:sz w:val="15"/>
                <w:szCs w:val="15"/>
                <w:lang w:val="en-US" w:eastAsia="zh-Hans"/>
              </w:rPr>
              <w:t>基础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color w:val="auto"/>
                <w:sz w:val="15"/>
                <w:szCs w:val="15"/>
                <w:lang w:val="en-US" w:eastAsia="zh-Hans"/>
              </w:rPr>
            </w:pPr>
            <w:r>
              <w:rPr>
                <w:rFonts w:hint="eastAsia" w:ascii="Arial" w:hAnsi="Arial" w:cs="Arial" w:eastAsiaTheme="minorEastAsia"/>
                <w:color w:val="auto"/>
                <w:sz w:val="15"/>
                <w:szCs w:val="15"/>
                <w:lang w:val="en-US" w:eastAsia="zh-Hans"/>
              </w:rPr>
              <w:t>首饰设计专业绘图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auto"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both"/>
              <w:textAlignment w:val="center"/>
              <w:rPr>
                <w:rFonts w:hint="default" w:ascii="Arial" w:hAnsi="Arial" w:cs="Arial" w:eastAsiaTheme="minorEastAsia"/>
                <w:sz w:val="15"/>
                <w:szCs w:val="15"/>
                <w:lang w:eastAsia="zh-Hans"/>
              </w:rPr>
            </w:pPr>
            <w:r>
              <w:rPr>
                <w:rFonts w:hint="default" w:ascii="Arial" w:hAnsi="Arial" w:cs="Arial" w:eastAsiaTheme="minorEastAsia"/>
                <w:sz w:val="15"/>
                <w:szCs w:val="15"/>
                <w:lang w:eastAsia="zh-Hans"/>
              </w:rPr>
              <w:t>JewelCAD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both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珠宝设计软件</w:t>
            </w: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（</w:t>
            </w: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一</w:t>
            </w: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）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trHeight w:val="455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cs="楷体_GB2312" w:asciiTheme="minorEastAsia" w:hAnsiTheme="minorEastAsia" w:eastAsiaTheme="minorEastAsia"/>
                <w:bCs/>
                <w:color w:val="000000"/>
                <w:sz w:val="15"/>
                <w:szCs w:val="15"/>
              </w:rPr>
              <w:t>论文写作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vAlign w:val="center"/>
          </w:tcPr>
          <w:p>
            <w:pPr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vAlign w:val="center"/>
          </w:tcPr>
          <w:p>
            <w:pPr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vAlign w:val="center"/>
          </w:tcPr>
          <w:p>
            <w:pPr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trHeight w:val="455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textAlignment w:val="center"/>
              <w:rPr>
                <w:rFonts w:hint="default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</w:pPr>
            <w:r>
              <w:rPr>
                <w:rFonts w:hint="eastAsia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  <w:t>珠宝首饰品牌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9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30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rPr>
          <w:trHeight w:val="455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textAlignment w:val="center"/>
              <w:rPr>
                <w:rFonts w:hint="default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</w:pPr>
            <w:r>
              <w:rPr>
                <w:rFonts w:hint="eastAsia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  <w:t>时尚饰品品牌与鉴赏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30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</w:tr>
      <w:tr>
        <w:trPr>
          <w:trHeight w:val="455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textAlignment w:val="center"/>
              <w:rPr>
                <w:rFonts w:hint="default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</w:pPr>
            <w:r>
              <w:rPr>
                <w:rFonts w:hint="eastAsia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  <w:t>摄影基础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rPr>
          <w:trHeight w:val="455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textAlignment w:val="center"/>
              <w:rPr>
                <w:rFonts w:hint="default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</w:pPr>
            <w:r>
              <w:rPr>
                <w:rFonts w:hint="eastAsia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  <w:t>珠宝市场营销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rPr>
          <w:trHeight w:val="455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textAlignment w:val="center"/>
              <w:rPr>
                <w:rFonts w:hint="eastAsia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</w:pPr>
            <w:r>
              <w:rPr>
                <w:rFonts w:hint="eastAsia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  <w:t>陶艺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rPr>
          <w:trHeight w:val="455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textAlignment w:val="center"/>
              <w:rPr>
                <w:rFonts w:hint="default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</w:pPr>
            <w:r>
              <w:rPr>
                <w:rFonts w:hint="eastAsia" w:cs="楷体_GB2312" w:asciiTheme="minorEastAsia" w:hAnsiTheme="minorEastAsia" w:eastAsiaTheme="minorEastAsia"/>
                <w:bCs/>
                <w:color w:val="auto"/>
                <w:sz w:val="15"/>
                <w:szCs w:val="15"/>
                <w:lang w:val="en-US" w:eastAsia="zh-Hans"/>
              </w:rPr>
              <w:t>陶瓷首饰设计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Hans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玉雕造型设计与工艺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专业英语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珠宝商务英语与应用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宝石学与宝石鉴定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宝石鉴定基础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Hans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首饰专题设计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珠宝设计软件</w:t>
            </w: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（</w:t>
            </w: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二</w:t>
            </w: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）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</w:tr>
      <w:tr>
        <w:trPr>
          <w:trHeight w:val="318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首饰制作</w:t>
            </w: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（2）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 Bold" w:hAnsi="Arial Bold" w:eastAsia="黑体" w:cs="Arial Bold"/>
                <w:b/>
                <w:bCs/>
                <w:sz w:val="15"/>
                <w:szCs w:val="15"/>
              </w:rPr>
            </w:pPr>
            <w:r>
              <w:rPr>
                <w:rFonts w:ascii="Arial Bold" w:hAnsi="Arial Bold" w:eastAsia="黑体" w:cs="Arial Bold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M</w:t>
            </w: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00" w:lineRule="exact"/>
              <w:jc w:val="center"/>
              <w:textAlignment w:val="center"/>
              <w:rPr>
                <w:rFonts w:hint="eastAsia" w:ascii="Arial" w:hAnsi="Arial" w:cs="Arial" w:eastAsiaTheme="minorEastAsia"/>
                <w:sz w:val="15"/>
                <w:szCs w:val="15"/>
                <w:lang w:val="en-US" w:eastAsia="zh-Hans" w:bidi="ar-SA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首饰制作</w:t>
            </w: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（</w:t>
            </w:r>
            <w:r>
              <w:rPr>
                <w:rFonts w:hint="default" w:ascii="Arial" w:hAnsi="Arial" w:cs="Arial" w:eastAsiaTheme="minorEastAsia"/>
                <w:sz w:val="15"/>
                <w:szCs w:val="15"/>
              </w:rPr>
              <w:t>3</w:t>
            </w: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）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Hans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 Bold" w:hAnsi="Arial Bold" w:eastAsia="黑体" w:cs="Arial Bold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7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商业首饰设计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 Bold" w:hAnsi="Arial Bold" w:eastAsia="黑体" w:cs="Arial Bold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首饰特殊工艺（1）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 Bold" w:hAnsi="Arial Bold" w:eastAsia="黑体" w:cs="Arial Bold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首饰综合材料与工艺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 xml:space="preserve">产品设计与工艺实践 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首饰特殊工艺（2）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钻石</w:t>
            </w: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和</w:t>
            </w: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钻石分级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Hans"/>
              </w:rPr>
            </w:pPr>
            <w:r>
              <w:rPr>
                <w:rFonts w:ascii="Arial" w:hAnsi="Arial" w:cs="Arial" w:eastAsiaTheme="minorEastAsia"/>
                <w:sz w:val="15"/>
                <w:szCs w:val="15"/>
              </w:rPr>
              <w:t>三维</w:t>
            </w: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设计软件基础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  <w:lang w:val="en-US" w:eastAsia="zh-Hans"/>
              </w:rPr>
              <w:t>电脑辅助三维设计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93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宝石切磨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rPr>
          <w:trHeight w:val="393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宝石加工工艺学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1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ascii="Arial" w:hAnsi="Arial" w:cs="Arial" w:eastAsiaTheme="minorEastAsia"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Cs/>
                <w:sz w:val="15"/>
                <w:szCs w:val="15"/>
                <w:lang w:val="en-US" w:eastAsia="zh-CN" w:bidi="ar-SA"/>
              </w:rPr>
            </w:pPr>
          </w:p>
        </w:tc>
      </w:tr>
      <w:tr>
        <w:trPr>
          <w:trHeight w:val="546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宝石各论</w:t>
            </w:r>
            <w:r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eastAsia="zh-Hans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93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宝石各论</w:t>
            </w:r>
            <w:r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eastAsia="zh-Han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L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H</w:t>
            </w: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  <w:vAlign w:val="top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455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军训与军事理论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455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创新创业综合实践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455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创新创业讲座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455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劳动教育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546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产品设计（珠宝首饰设计）专业实习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b/>
                <w:sz w:val="15"/>
                <w:szCs w:val="15"/>
              </w:rPr>
            </w:pPr>
            <w:r>
              <w:rPr>
                <w:rFonts w:hint="default"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382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毕业实习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M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rPr>
          <w:trHeight w:val="403" w:hRule="atLeast"/>
        </w:trPr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sz w:val="15"/>
                <w:szCs w:val="15"/>
              </w:rPr>
              <w:t>毕业论文（设计）</w:t>
            </w: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sz w:val="15"/>
                <w:szCs w:val="15"/>
              </w:rPr>
              <w:t>H</w:t>
            </w:r>
          </w:p>
        </w:tc>
        <w:tc>
          <w:tcPr>
            <w:tcW w:w="301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黑体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7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9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9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9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hint="eastAsia" w:ascii="仿宋_GB2312" w:hAnsi="仿宋_GB2312" w:eastAsia="仿宋_GB2312"/>
          <w:b/>
        </w:rPr>
      </w:pPr>
    </w:p>
    <w:p>
      <w:pPr>
        <w:rPr>
          <w:rFonts w:ascii="仿宋_GB2312" w:hAnsi="仿宋_GB2312" w:eastAsia="仿宋_GB2312"/>
          <w:bCs/>
        </w:rPr>
      </w:pPr>
      <w:r>
        <w:rPr>
          <w:rFonts w:ascii="仿宋_GB2312" w:hAnsi="仿宋_GB2312" w:eastAsia="仿宋_GB2312"/>
          <w:bCs/>
        </w:rPr>
        <w:br w:type="page"/>
      </w:r>
    </w:p>
    <w:p>
      <w:pPr>
        <w:tabs>
          <w:tab w:val="left" w:pos="4200"/>
        </w:tabs>
        <w:spacing w:line="440" w:lineRule="exact"/>
        <w:outlineLvl w:val="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hint="eastAsia" w:ascii="黑体" w:hAnsi="黑体" w:eastAsia="黑体"/>
          <w:bCs/>
          <w:lang w:val="en-US" w:eastAsia="zh-Hans"/>
        </w:rPr>
      </w:pPr>
      <w:r>
        <w:rPr>
          <w:rFonts w:hint="eastAsia" w:ascii="黑体" w:hAnsi="黑体" w:eastAsia="黑体"/>
          <w:bCs/>
          <w:lang w:val="en-US" w:eastAsia="zh-Hans"/>
        </w:rPr>
        <w:t>八、学分与学时分配表</w:t>
      </w:r>
    </w:p>
    <w:tbl>
      <w:tblPr>
        <w:tblW w:w="9099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661"/>
        <w:gridCol w:w="1686"/>
        <w:gridCol w:w="1661"/>
        <w:gridCol w:w="1275"/>
        <w:gridCol w:w="1275"/>
      </w:tblGrid>
      <w:tr>
        <w:trPr>
          <w:trHeight w:val="361" w:hRule="atLeast"/>
        </w:trPr>
        <w:tc>
          <w:tcPr>
            <w:tcW w:w="48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课程类别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学分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学分比例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学时</w:t>
            </w:r>
          </w:p>
        </w:tc>
      </w:tr>
      <w:tr>
        <w:trPr>
          <w:trHeight w:val="345" w:hRule="atLeast"/>
        </w:trPr>
        <w:tc>
          <w:tcPr>
            <w:tcW w:w="15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课堂教学课程</w:t>
            </w:r>
          </w:p>
        </w:tc>
        <w:tc>
          <w:tcPr>
            <w:tcW w:w="16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通识教育课程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必修课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</w:tr>
      <w:tr>
        <w:trPr>
          <w:trHeight w:val="345" w:hRule="atLeast"/>
        </w:trPr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综合素质选修课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</w:tr>
      <w:tr>
        <w:trPr>
          <w:trHeight w:val="345" w:hRule="atLeast"/>
        </w:trPr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学科基础课程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专业基础必修课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13%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352</w:t>
            </w:r>
          </w:p>
        </w:tc>
      </w:tr>
      <w:tr>
        <w:trPr>
          <w:trHeight w:val="345" w:hRule="atLeast"/>
        </w:trPr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rPr>
          <w:trHeight w:val="345" w:hRule="atLeast"/>
        </w:trPr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专业基础选修课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</w:tr>
      <w:tr>
        <w:trPr>
          <w:trHeight w:val="345" w:hRule="atLeast"/>
        </w:trPr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专业课程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专业必修课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544</w:t>
            </w:r>
          </w:p>
        </w:tc>
      </w:tr>
      <w:tr>
        <w:trPr>
          <w:trHeight w:val="345" w:hRule="atLeast"/>
        </w:trPr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专业选修课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</w:tr>
      <w:tr>
        <w:trPr>
          <w:trHeight w:val="345" w:hRule="atLeast"/>
        </w:trPr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2288</w:t>
            </w:r>
          </w:p>
        </w:tc>
      </w:tr>
      <w:tr>
        <w:trPr>
          <w:trHeight w:val="345" w:hRule="atLeast"/>
        </w:trPr>
        <w:tc>
          <w:tcPr>
            <w:tcW w:w="15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实践教学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集中实践环节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综合实践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</w:tr>
      <w:tr>
        <w:trPr>
          <w:trHeight w:val="345" w:hRule="atLeast"/>
        </w:trPr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专业实践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</w:tr>
      <w:tr>
        <w:trPr>
          <w:trHeight w:val="345" w:hRule="atLeast"/>
        </w:trPr>
        <w:tc>
          <w:tcPr>
            <w:tcW w:w="15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416</w:t>
            </w:r>
          </w:p>
        </w:tc>
      </w:tr>
      <w:tr>
        <w:trPr>
          <w:trHeight w:val="663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2704</w:t>
            </w:r>
          </w:p>
        </w:tc>
      </w:tr>
      <w:tr>
        <w:trPr>
          <w:trHeight w:val="835" w:hRule="atLeast"/>
        </w:trPr>
        <w:tc>
          <w:tcPr>
            <w:tcW w:w="15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独立设置的实践课程学分</w:t>
            </w:r>
          </w:p>
        </w:tc>
        <w:tc>
          <w:tcPr>
            <w:tcW w:w="16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eastAsia="zh-CN" w:bidi="ar"/>
              </w:rPr>
              <w:t>40</w:t>
            </w:r>
          </w:p>
        </w:tc>
        <w:tc>
          <w:tcPr>
            <w:tcW w:w="166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实践教学学分占总学分比例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eastAsia="zh-CN" w:bidi="ar"/>
              </w:rPr>
              <w:t>40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%</w:t>
            </w:r>
          </w:p>
        </w:tc>
        <w:tc>
          <w:tcPr>
            <w:tcW w:w="1275" w:type="dxa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选修课学分占总学分比例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22%</w:t>
            </w:r>
          </w:p>
        </w:tc>
      </w:tr>
    </w:tbl>
    <w:p>
      <w:pPr>
        <w:tabs>
          <w:tab w:val="left" w:pos="4200"/>
        </w:tabs>
        <w:spacing w:line="440" w:lineRule="exact"/>
        <w:outlineLvl w:val="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line="440" w:lineRule="exact"/>
        <w:outlineLvl w:val="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hint="eastAsia" w:ascii="黑体" w:hAnsi="黑体" w:eastAsia="黑体"/>
          <w:bCs/>
          <w:lang w:val="en-US" w:eastAsia="zh-Hans"/>
        </w:rPr>
      </w:pPr>
      <w:r>
        <w:rPr>
          <w:rFonts w:hint="eastAsia" w:ascii="黑体" w:hAnsi="黑体" w:eastAsia="黑体"/>
          <w:bCs/>
          <w:lang w:val="en-US" w:eastAsia="zh-Hans"/>
        </w:rPr>
        <w:t>九、教学进度表</w:t>
      </w:r>
    </w:p>
    <w:p>
      <w:pPr>
        <w:tabs>
          <w:tab w:val="left" w:pos="4200"/>
        </w:tabs>
        <w:spacing w:line="360" w:lineRule="auto"/>
        <w:outlineLvl w:val="0"/>
        <w:rPr>
          <w:rFonts w:ascii="仿宋_GB2312" w:hAnsi="仿宋_GB2312" w:eastAsia="仿宋_GB2312"/>
          <w:b/>
        </w:rPr>
      </w:pPr>
      <w:r>
        <w:rPr>
          <w:rFonts w:hint="eastAsia"/>
        </w:rPr>
        <w:drawing>
          <wp:inline distT="0" distB="0" distL="0" distR="0">
            <wp:extent cx="5817870" cy="1998345"/>
            <wp:effectExtent l="0" t="0" r="2413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7870" cy="199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00"/>
        </w:tabs>
        <w:spacing w:line="360" w:lineRule="auto"/>
        <w:outlineLvl w:val="0"/>
        <w:rPr>
          <w:rFonts w:ascii="仿宋_GB2312" w:hAnsi="仿宋_GB2312" w:eastAsia="仿宋_GB2312"/>
          <w:b/>
        </w:rPr>
      </w:pPr>
    </w:p>
    <w:p>
      <w:pPr>
        <w:tabs>
          <w:tab w:val="left" w:pos="4200"/>
        </w:tabs>
        <w:spacing w:line="360" w:lineRule="auto"/>
        <w:outlineLvl w:val="0"/>
        <w:rPr>
          <w:rFonts w:hint="eastAsia" w:ascii="黑体" w:hAnsi="黑体" w:eastAsia="黑体"/>
          <w:bCs/>
          <w:lang w:val="en-US" w:eastAsia="zh-Hans"/>
        </w:rPr>
      </w:pPr>
      <w:r>
        <w:rPr>
          <w:rFonts w:hint="eastAsia" w:ascii="黑体" w:hAnsi="黑体" w:eastAsia="黑体"/>
          <w:bCs/>
          <w:lang w:val="en-US" w:eastAsia="zh-Hans"/>
        </w:rPr>
        <w:t>十、素质拓展学分体系</w:t>
      </w:r>
      <w:bookmarkStart w:id="2" w:name="_GoBack"/>
      <w:bookmarkEnd w:id="2"/>
    </w:p>
    <w:tbl>
      <w:tblPr>
        <w:tblStyle w:val="19"/>
        <w:tblpPr w:leftFromText="180" w:rightFromText="180" w:vertAnchor="text" w:horzAnchor="margin" w:tblpY="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5407"/>
        <w:gridCol w:w="1113"/>
        <w:gridCol w:w="2544"/>
      </w:tblGrid>
      <w:tr>
        <w:trPr>
          <w:trHeight w:val="519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性质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项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目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学分要求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备注</w:t>
            </w:r>
          </w:p>
        </w:tc>
      </w:tr>
      <w:tr>
        <w:trPr>
          <w:trHeight w:val="587" w:hRule="atLeast"/>
        </w:trPr>
        <w:tc>
          <w:tcPr>
            <w:tcW w:w="704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修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科技活动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18"/>
              </w:rPr>
              <w:t>按SJQU-WI-XS-</w:t>
            </w:r>
            <w:r>
              <w:rPr>
                <w:rFonts w:cs="Times New Roman"/>
                <w:kern w:val="2"/>
                <w:sz w:val="18"/>
                <w:szCs w:val="18"/>
              </w:rPr>
              <w:t>039</w:t>
            </w:r>
            <w:r>
              <w:rPr>
                <w:rFonts w:hint="eastAsia" w:cs="Times New Roman"/>
                <w:kern w:val="2"/>
                <w:sz w:val="18"/>
                <w:szCs w:val="18"/>
              </w:rPr>
              <w:t>（A</w:t>
            </w:r>
            <w:r>
              <w:rPr>
                <w:rFonts w:cs="Times New Roman"/>
                <w:kern w:val="2"/>
                <w:sz w:val="18"/>
                <w:szCs w:val="18"/>
              </w:rPr>
              <w:t>0</w:t>
            </w:r>
            <w:r>
              <w:rPr>
                <w:rFonts w:hint="eastAsia" w:cs="Times New Roman"/>
                <w:kern w:val="2"/>
                <w:sz w:val="18"/>
                <w:szCs w:val="18"/>
              </w:rPr>
              <w:t>）学生手册（2</w:t>
            </w:r>
            <w:r>
              <w:rPr>
                <w:rFonts w:cs="Times New Roman"/>
                <w:kern w:val="2"/>
                <w:sz w:val="18"/>
                <w:szCs w:val="18"/>
              </w:rPr>
              <w:t>022</w:t>
            </w:r>
            <w:r>
              <w:rPr>
                <w:rFonts w:hint="eastAsia" w:cs="Times New Roman"/>
                <w:kern w:val="2"/>
                <w:sz w:val="18"/>
                <w:szCs w:val="18"/>
              </w:rPr>
              <w:t>）中第一章第七条中相关的规定取得学分，共需取得</w:t>
            </w:r>
            <w:r>
              <w:rPr>
                <w:rFonts w:cs="Times New Roman"/>
                <w:kern w:val="2"/>
                <w:sz w:val="18"/>
                <w:szCs w:val="18"/>
              </w:rPr>
              <w:t>6</w:t>
            </w:r>
            <w:r>
              <w:rPr>
                <w:rFonts w:hint="eastAsia" w:cs="Times New Roman"/>
                <w:kern w:val="2"/>
                <w:sz w:val="18"/>
                <w:szCs w:val="18"/>
              </w:rPr>
              <w:t>学分。</w:t>
            </w:r>
          </w:p>
        </w:tc>
      </w:tr>
      <w:tr>
        <w:trPr>
          <w:trHeight w:val="516" w:hRule="atLeast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社会实践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rPr>
                <w:rFonts w:eastAsia="楷体_GB2312"/>
                <w:sz w:val="18"/>
                <w:szCs w:val="18"/>
              </w:rPr>
            </w:pPr>
          </w:p>
        </w:tc>
      </w:tr>
      <w:tr>
        <w:trPr>
          <w:trHeight w:val="524" w:hRule="atLeast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心理健康教育在线学习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rPr>
                <w:rFonts w:eastAsia="楷体_GB2312"/>
                <w:sz w:val="18"/>
                <w:szCs w:val="18"/>
              </w:rPr>
            </w:pPr>
          </w:p>
        </w:tc>
      </w:tr>
      <w:tr>
        <w:trPr>
          <w:trHeight w:val="524" w:hRule="atLeast"/>
        </w:trPr>
        <w:tc>
          <w:tcPr>
            <w:tcW w:w="70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职业素养、学术成果、文体竞赛、学生助管、志愿者活动、学术讲座、自主学习、社团活动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268" w:type="dxa"/>
            <w:vMerge w:val="continue"/>
            <w:vAlign w:val="center"/>
          </w:tcPr>
          <w:p>
            <w:pPr>
              <w:rPr>
                <w:rFonts w:eastAsia="楷体_GB2312"/>
                <w:sz w:val="18"/>
                <w:szCs w:val="18"/>
              </w:rPr>
            </w:pPr>
          </w:p>
        </w:tc>
      </w:tr>
    </w:tbl>
    <w:p>
      <w:pPr>
        <w:tabs>
          <w:tab w:val="left" w:pos="4200"/>
        </w:tabs>
        <w:spacing w:line="440" w:lineRule="exact"/>
        <w:ind w:firstLine="480" w:firstLineChars="200"/>
        <w:outlineLvl w:val="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line="440" w:lineRule="exact"/>
        <w:ind w:firstLine="480" w:firstLineChars="200"/>
        <w:outlineLvl w:val="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</w:rPr>
      </w:pPr>
      <w:r>
        <w:rPr>
          <w:rFonts w:hint="eastAsia" w:ascii="黑体" w:hAnsi="黑体" w:eastAsia="黑体"/>
          <w:bCs/>
        </w:rPr>
        <w:t>素质拓展项目与毕业</w:t>
      </w:r>
      <w:r>
        <w:rPr>
          <w:rFonts w:ascii="黑体" w:hAnsi="黑体" w:eastAsia="黑体"/>
          <w:bCs/>
        </w:rPr>
        <w:t>要求</w:t>
      </w:r>
      <w:r>
        <w:rPr>
          <w:rFonts w:hint="eastAsia" w:ascii="黑体" w:hAnsi="黑体" w:eastAsia="黑体"/>
          <w:bCs/>
        </w:rPr>
        <w:t>支撑关系矩阵</w:t>
      </w:r>
    </w:p>
    <w:tbl>
      <w:tblPr>
        <w:tblStyle w:val="2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1884"/>
        <w:gridCol w:w="721"/>
        <w:gridCol w:w="725"/>
        <w:gridCol w:w="727"/>
        <w:gridCol w:w="725"/>
        <w:gridCol w:w="725"/>
        <w:gridCol w:w="723"/>
        <w:gridCol w:w="726"/>
        <w:gridCol w:w="724"/>
        <w:gridCol w:w="726"/>
        <w:gridCol w:w="724"/>
        <w:gridCol w:w="724"/>
      </w:tblGrid>
      <w:tr>
        <w:trPr>
          <w:trHeight w:val="868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76" w:lineRule="auto"/>
              <w:ind w:right="105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5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6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7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8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9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10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社团活动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b/>
                <w:bCs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</w:tcBorders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sz w:val="21"/>
                <w:szCs w:val="21"/>
              </w:rPr>
            </w:pPr>
            <w:r>
              <w:rPr>
                <w:rFonts w:hint="default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rPr>
          <w:trHeight w:val="340" w:hRule="atLeast"/>
          <w:jc w:val="center"/>
        </w:trPr>
        <w:tc>
          <w:tcPr>
            <w:tcW w:w="956" w:type="pct"/>
          </w:tcPr>
          <w:p>
            <w:pPr>
              <w:rPr>
                <w:rFonts w:ascii="黑体" w:hAnsi="黑体" w:eastAsia="黑体" w:cs="Arial"/>
                <w:sz w:val="21"/>
                <w:szCs w:val="21"/>
              </w:rPr>
            </w:pPr>
            <w:r>
              <w:rPr>
                <w:rFonts w:ascii="黑体" w:hAnsi="黑体" w:eastAsia="黑体" w:cs="Arial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sz w:val="21"/>
                <w:szCs w:val="21"/>
              </w:rPr>
            </w:pPr>
            <w:r>
              <w:rPr>
                <w:rFonts w:hint="default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</w:tbl>
    <w:p>
      <w:pPr>
        <w:pStyle w:val="12"/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0" w:usb1="00000000" w:usb2="00000000" w:usb3="00000000" w:csb0="0016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方正仿宋_GBK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SimSun-ExtB">
    <w:panose1 w:val="02010609060101010101"/>
    <w:charset w:val="86"/>
    <w:family w:val="modern"/>
    <w:pitch w:val="default"/>
    <w:sig w:usb0="00000000" w:usb1="00000000" w:usb2="00000000" w:usb3="00000000" w:csb0="00000000" w:csb1="00000000"/>
  </w:font>
  <w:font w:name="楷体_GB2312">
    <w:altName w:val="汉仪楷体简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0" w:usb1="00000000" w:usb2="00000000" w:usb3="00000000" w:csb0="00060000" w:csb1="00000000"/>
  </w:font>
  <w:font w:name="PingFang SC">
    <w:panose1 w:val="020B0400000000000000"/>
    <w:charset w:val="86"/>
    <w:family w:val="swiss"/>
    <w:pitch w:val="default"/>
    <w:sig w:usb0="00000000" w:usb1="00000000" w:usb2="00000000" w:usb3="00000000" w:csb0="00160000" w:csb1="00000000"/>
  </w:font>
  <w:font w:name="楷体">
    <w:panose1 w:val="02010609060101010101"/>
    <w:charset w:val="86"/>
    <w:family w:val="modern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swiss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Arial Bold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U2MmU4NDMxZmUyMDU3YzE4N2ViYWM1NzJkN2FmOWUifQ=="/>
  </w:docVars>
  <w:rsids>
    <w:rsidRoot w:val="00B3693E"/>
    <w:rsid w:val="0000019B"/>
    <w:rsid w:val="00005253"/>
    <w:rsid w:val="000055D2"/>
    <w:rsid w:val="00021BAE"/>
    <w:rsid w:val="0004364E"/>
    <w:rsid w:val="00046ED0"/>
    <w:rsid w:val="00076030"/>
    <w:rsid w:val="000B04DE"/>
    <w:rsid w:val="000D371D"/>
    <w:rsid w:val="000E2B91"/>
    <w:rsid w:val="000E6408"/>
    <w:rsid w:val="000F3A54"/>
    <w:rsid w:val="000F3DA1"/>
    <w:rsid w:val="00102F85"/>
    <w:rsid w:val="001062DB"/>
    <w:rsid w:val="00127027"/>
    <w:rsid w:val="00132C9D"/>
    <w:rsid w:val="00133C3D"/>
    <w:rsid w:val="001368C5"/>
    <w:rsid w:val="00145254"/>
    <w:rsid w:val="0018760D"/>
    <w:rsid w:val="00190AD3"/>
    <w:rsid w:val="001930CF"/>
    <w:rsid w:val="001D4BD8"/>
    <w:rsid w:val="001F12A2"/>
    <w:rsid w:val="001F2F79"/>
    <w:rsid w:val="001F40AE"/>
    <w:rsid w:val="00200A41"/>
    <w:rsid w:val="0020122F"/>
    <w:rsid w:val="00207249"/>
    <w:rsid w:val="00207376"/>
    <w:rsid w:val="00217CF1"/>
    <w:rsid w:val="0022248E"/>
    <w:rsid w:val="002278DA"/>
    <w:rsid w:val="00251B04"/>
    <w:rsid w:val="002563B4"/>
    <w:rsid w:val="00263159"/>
    <w:rsid w:val="00264CB0"/>
    <w:rsid w:val="00273082"/>
    <w:rsid w:val="00276F51"/>
    <w:rsid w:val="00282B81"/>
    <w:rsid w:val="0028391A"/>
    <w:rsid w:val="00294350"/>
    <w:rsid w:val="002B2219"/>
    <w:rsid w:val="002C289E"/>
    <w:rsid w:val="002C336E"/>
    <w:rsid w:val="002C5401"/>
    <w:rsid w:val="002E2365"/>
    <w:rsid w:val="00300E8D"/>
    <w:rsid w:val="00334237"/>
    <w:rsid w:val="00364809"/>
    <w:rsid w:val="00367919"/>
    <w:rsid w:val="00373564"/>
    <w:rsid w:val="00390354"/>
    <w:rsid w:val="003A2961"/>
    <w:rsid w:val="003B19B0"/>
    <w:rsid w:val="003B2219"/>
    <w:rsid w:val="003F49B8"/>
    <w:rsid w:val="004021CC"/>
    <w:rsid w:val="00402D67"/>
    <w:rsid w:val="00412348"/>
    <w:rsid w:val="004341EA"/>
    <w:rsid w:val="0045084A"/>
    <w:rsid w:val="004678A8"/>
    <w:rsid w:val="0048471C"/>
    <w:rsid w:val="004961D2"/>
    <w:rsid w:val="004A03B4"/>
    <w:rsid w:val="004A5E3A"/>
    <w:rsid w:val="004B0DB8"/>
    <w:rsid w:val="004B1425"/>
    <w:rsid w:val="004C04F2"/>
    <w:rsid w:val="004C229F"/>
    <w:rsid w:val="004C37D2"/>
    <w:rsid w:val="004D289E"/>
    <w:rsid w:val="004E52F0"/>
    <w:rsid w:val="004F3137"/>
    <w:rsid w:val="00511D5A"/>
    <w:rsid w:val="00523AB6"/>
    <w:rsid w:val="00524A66"/>
    <w:rsid w:val="00542868"/>
    <w:rsid w:val="00543F11"/>
    <w:rsid w:val="00560AD8"/>
    <w:rsid w:val="00566D8C"/>
    <w:rsid w:val="0056719C"/>
    <w:rsid w:val="00583079"/>
    <w:rsid w:val="005917EF"/>
    <w:rsid w:val="00592DD8"/>
    <w:rsid w:val="005A3263"/>
    <w:rsid w:val="005C5A08"/>
    <w:rsid w:val="006073AA"/>
    <w:rsid w:val="00607CD1"/>
    <w:rsid w:val="00620F00"/>
    <w:rsid w:val="00625F49"/>
    <w:rsid w:val="0063356C"/>
    <w:rsid w:val="006365C1"/>
    <w:rsid w:val="00653665"/>
    <w:rsid w:val="00675844"/>
    <w:rsid w:val="006B5B6D"/>
    <w:rsid w:val="006C00C7"/>
    <w:rsid w:val="006C4DF1"/>
    <w:rsid w:val="006D4930"/>
    <w:rsid w:val="006F7095"/>
    <w:rsid w:val="00724AA6"/>
    <w:rsid w:val="0072793D"/>
    <w:rsid w:val="00730B52"/>
    <w:rsid w:val="00736CC9"/>
    <w:rsid w:val="00742FF4"/>
    <w:rsid w:val="00746927"/>
    <w:rsid w:val="0075099C"/>
    <w:rsid w:val="00785409"/>
    <w:rsid w:val="00787CCE"/>
    <w:rsid w:val="00796770"/>
    <w:rsid w:val="007C5A0C"/>
    <w:rsid w:val="007D5852"/>
    <w:rsid w:val="00803855"/>
    <w:rsid w:val="008105B1"/>
    <w:rsid w:val="00860563"/>
    <w:rsid w:val="008779B4"/>
    <w:rsid w:val="00880572"/>
    <w:rsid w:val="00885622"/>
    <w:rsid w:val="00887987"/>
    <w:rsid w:val="0089646D"/>
    <w:rsid w:val="00897BDB"/>
    <w:rsid w:val="008A4BF6"/>
    <w:rsid w:val="008C43FE"/>
    <w:rsid w:val="008C48BF"/>
    <w:rsid w:val="008C7F59"/>
    <w:rsid w:val="008E4B4A"/>
    <w:rsid w:val="008F29F2"/>
    <w:rsid w:val="00900263"/>
    <w:rsid w:val="00906DA4"/>
    <w:rsid w:val="00923CAB"/>
    <w:rsid w:val="00926CFF"/>
    <w:rsid w:val="0095347C"/>
    <w:rsid w:val="00972CB5"/>
    <w:rsid w:val="009768E2"/>
    <w:rsid w:val="0099650B"/>
    <w:rsid w:val="009D16B2"/>
    <w:rsid w:val="009F2145"/>
    <w:rsid w:val="00A2619E"/>
    <w:rsid w:val="00A44B24"/>
    <w:rsid w:val="00A54ECB"/>
    <w:rsid w:val="00A56F6A"/>
    <w:rsid w:val="00A56FF2"/>
    <w:rsid w:val="00A62072"/>
    <w:rsid w:val="00A87893"/>
    <w:rsid w:val="00A92E4D"/>
    <w:rsid w:val="00AA2583"/>
    <w:rsid w:val="00AD3B50"/>
    <w:rsid w:val="00AE18E3"/>
    <w:rsid w:val="00AE2B33"/>
    <w:rsid w:val="00AF6742"/>
    <w:rsid w:val="00B028F2"/>
    <w:rsid w:val="00B029AC"/>
    <w:rsid w:val="00B10A43"/>
    <w:rsid w:val="00B32DB9"/>
    <w:rsid w:val="00B3693E"/>
    <w:rsid w:val="00B403DA"/>
    <w:rsid w:val="00B41ABB"/>
    <w:rsid w:val="00B42F5B"/>
    <w:rsid w:val="00B471D3"/>
    <w:rsid w:val="00B50754"/>
    <w:rsid w:val="00B60B3C"/>
    <w:rsid w:val="00B7073D"/>
    <w:rsid w:val="00B81077"/>
    <w:rsid w:val="00B911F3"/>
    <w:rsid w:val="00B92048"/>
    <w:rsid w:val="00BB491B"/>
    <w:rsid w:val="00BC538F"/>
    <w:rsid w:val="00BD101E"/>
    <w:rsid w:val="00BE5AB9"/>
    <w:rsid w:val="00C1025C"/>
    <w:rsid w:val="00C13E78"/>
    <w:rsid w:val="00C1491C"/>
    <w:rsid w:val="00C20CC4"/>
    <w:rsid w:val="00C249FC"/>
    <w:rsid w:val="00C35186"/>
    <w:rsid w:val="00C45D91"/>
    <w:rsid w:val="00C46156"/>
    <w:rsid w:val="00C5430F"/>
    <w:rsid w:val="00C62C76"/>
    <w:rsid w:val="00C63B81"/>
    <w:rsid w:val="00C87294"/>
    <w:rsid w:val="00CA52AD"/>
    <w:rsid w:val="00CB6054"/>
    <w:rsid w:val="00CB6F39"/>
    <w:rsid w:val="00CC1CD0"/>
    <w:rsid w:val="00CC3F6B"/>
    <w:rsid w:val="00CD6246"/>
    <w:rsid w:val="00CF02DD"/>
    <w:rsid w:val="00CF45EC"/>
    <w:rsid w:val="00D01B5B"/>
    <w:rsid w:val="00D15CD1"/>
    <w:rsid w:val="00D364EB"/>
    <w:rsid w:val="00D520EC"/>
    <w:rsid w:val="00D84F09"/>
    <w:rsid w:val="00D93B28"/>
    <w:rsid w:val="00DE0759"/>
    <w:rsid w:val="00DE4E23"/>
    <w:rsid w:val="00DF4A34"/>
    <w:rsid w:val="00DF73B7"/>
    <w:rsid w:val="00E1512E"/>
    <w:rsid w:val="00E23EE4"/>
    <w:rsid w:val="00E25A09"/>
    <w:rsid w:val="00E51C86"/>
    <w:rsid w:val="00E529AF"/>
    <w:rsid w:val="00E54149"/>
    <w:rsid w:val="00E76F33"/>
    <w:rsid w:val="00E772B2"/>
    <w:rsid w:val="00E86DB0"/>
    <w:rsid w:val="00E92760"/>
    <w:rsid w:val="00EA6BD4"/>
    <w:rsid w:val="00EB64A9"/>
    <w:rsid w:val="00EB761E"/>
    <w:rsid w:val="00F04B35"/>
    <w:rsid w:val="00F164F3"/>
    <w:rsid w:val="00F267BA"/>
    <w:rsid w:val="00F40584"/>
    <w:rsid w:val="00F41C07"/>
    <w:rsid w:val="00F429E7"/>
    <w:rsid w:val="00F43235"/>
    <w:rsid w:val="00F43F1A"/>
    <w:rsid w:val="00F46E4F"/>
    <w:rsid w:val="00F54CF9"/>
    <w:rsid w:val="00F613C0"/>
    <w:rsid w:val="00F61733"/>
    <w:rsid w:val="00F67ABF"/>
    <w:rsid w:val="00F76791"/>
    <w:rsid w:val="00F81B2D"/>
    <w:rsid w:val="00F81DE8"/>
    <w:rsid w:val="00FA43FA"/>
    <w:rsid w:val="00FC320A"/>
    <w:rsid w:val="00FD7B42"/>
    <w:rsid w:val="00FE5E15"/>
    <w:rsid w:val="00FF7862"/>
    <w:rsid w:val="0A34328F"/>
    <w:rsid w:val="341E1D1F"/>
    <w:rsid w:val="49B31833"/>
    <w:rsid w:val="4B6D1591"/>
    <w:rsid w:val="6A721EA2"/>
    <w:rsid w:val="75747A92"/>
    <w:rsid w:val="7E4F9E80"/>
    <w:rsid w:val="DF39C1C9"/>
    <w:rsid w:val="EBF731D4"/>
    <w:rsid w:val="FFBFCC02"/>
    <w:rsid w:val="FFFE8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pBdr>
        <w:top w:val="single" w:color="4472C4" w:themeColor="accent1" w:sz="24" w:space="0"/>
        <w:left w:val="single" w:color="4472C4" w:themeColor="accent1" w:sz="24" w:space="0"/>
        <w:bottom w:val="single" w:color="4472C4" w:themeColor="accent1" w:sz="24" w:space="0"/>
        <w:right w:val="single" w:color="4472C4" w:themeColor="accent1" w:sz="24" w:space="0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pBdr>
        <w:top w:val="single" w:color="D9E2F3" w:themeColor="accent1" w:themeTint="33" w:sz="24" w:space="0"/>
        <w:left w:val="single" w:color="D9E2F3" w:themeColor="accent1" w:themeTint="33" w:sz="24" w:space="0"/>
        <w:bottom w:val="single" w:color="D9E2F3" w:themeColor="accent1" w:themeTint="33" w:sz="24" w:space="0"/>
        <w:right w:val="single" w:color="D9E2F3" w:themeColor="accent1" w:themeTint="33" w:sz="24" w:space="0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pBdr>
        <w:top w:val="single" w:color="4472C4" w:themeColor="accent1" w:sz="6" w:space="2"/>
        <w:left w:val="single" w:color="4472C4" w:themeColor="accent1" w:sz="6" w:space="2"/>
      </w:pBdr>
      <w:spacing w:before="300"/>
      <w:outlineLvl w:val="2"/>
    </w:pPr>
    <w:rPr>
      <w:caps/>
      <w:color w:val="1F3863" w:themeColor="accent1" w:themeShade="7F"/>
      <w:spacing w:val="15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pBdr>
        <w:top w:val="dotted" w:color="4472C4" w:themeColor="accent1" w:sz="6" w:space="2"/>
        <w:left w:val="dotted" w:color="4472C4" w:themeColor="accent1" w:sz="6" w:space="2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pBdr>
        <w:bottom w:val="single" w:color="4472C4" w:themeColor="accent1" w:sz="6" w:space="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pBdr>
        <w:bottom w:val="dotted" w:color="4472C4" w:themeColor="accent1" w:sz="6" w:space="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spacing w:before="300"/>
      <w:outlineLvl w:val="7"/>
    </w:pPr>
    <w:rPr>
      <w:caps/>
      <w:spacing w:val="10"/>
      <w:sz w:val="18"/>
      <w:szCs w:val="18"/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color w:val="2F5496" w:themeColor="accent1" w:themeShade="BF"/>
      <w:sz w:val="16"/>
      <w:szCs w:val="16"/>
    </w:rPr>
  </w:style>
  <w:style w:type="paragraph" w:styleId="12">
    <w:name w:val="Body Text"/>
    <w:basedOn w:val="1"/>
    <w:link w:val="51"/>
    <w:qFormat/>
    <w:uiPriority w:val="0"/>
    <w:pPr>
      <w:widowControl w:val="0"/>
      <w:spacing w:after="120"/>
      <w:jc w:val="both"/>
    </w:pPr>
    <w:rPr>
      <w:rFonts w:ascii="Times New Roman" w:hAnsi="Times New Roman" w:eastAsia="仿宋_GB2312" w:cs="Times New Roman"/>
      <w:kern w:val="2"/>
      <w:sz w:val="28"/>
      <w:szCs w:val="20"/>
    </w:rPr>
  </w:style>
  <w:style w:type="paragraph" w:styleId="13">
    <w:name w:val="footer"/>
    <w:basedOn w:val="1"/>
    <w:link w:val="5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14">
    <w:name w:val="header"/>
    <w:basedOn w:val="1"/>
    <w:link w:val="6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5"/>
    <w:qFormat/>
    <w:uiPriority w:val="11"/>
    <w:pPr>
      <w:spacing w:after="1000"/>
    </w:pPr>
    <w:rPr>
      <w:caps/>
      <w:color w:val="585858" w:themeColor="text1" w:themeTint="A6"/>
      <w:spacing w:val="10"/>
    </w:rPr>
  </w:style>
  <w:style w:type="paragraph" w:styleId="16">
    <w:name w:val="HTML Preformatted"/>
    <w:basedOn w:val="1"/>
    <w:link w:val="59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17">
    <w:name w:val="Normal (Web)"/>
    <w:basedOn w:val="1"/>
    <w:semiHidden/>
    <w:unhideWhenUsed/>
    <w:uiPriority w:val="99"/>
    <w:pPr>
      <w:spacing w:before="100" w:beforeAutospacing="1" w:after="100" w:afterAutospacing="1"/>
    </w:pPr>
  </w:style>
  <w:style w:type="paragraph" w:styleId="18">
    <w:name w:val="Title"/>
    <w:basedOn w:val="1"/>
    <w:next w:val="1"/>
    <w:link w:val="34"/>
    <w:qFormat/>
    <w:uiPriority w:val="10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qFormat/>
    <w:uiPriority w:val="22"/>
    <w:rPr>
      <w:b/>
      <w:bCs/>
    </w:rPr>
  </w:style>
  <w:style w:type="character" w:styleId="23">
    <w:name w:val="Emphasis"/>
    <w:qFormat/>
    <w:uiPriority w:val="20"/>
    <w:rPr>
      <w:caps/>
      <w:color w:val="1F3863" w:themeColor="accent1" w:themeShade="7F"/>
      <w:spacing w:val="5"/>
    </w:rPr>
  </w:style>
  <w:style w:type="paragraph" w:customStyle="1" w:styleId="24">
    <w:name w:val="正文1"/>
    <w:basedOn w:val="1"/>
    <w:qFormat/>
    <w:uiPriority w:val="0"/>
    <w:pPr>
      <w:spacing w:line="440" w:lineRule="exact"/>
      <w:ind w:firstLine="200" w:firstLineChars="200"/>
    </w:pPr>
    <w:rPr>
      <w:rFonts w:ascii="Calibri" w:hAnsi="Calibri" w:eastAsia="SimSun-ExtB" w:cs="Times New Roman"/>
    </w:rPr>
  </w:style>
  <w:style w:type="character" w:customStyle="1" w:styleId="25">
    <w:name w:val="标题 1 字符"/>
    <w:basedOn w:val="21"/>
    <w:link w:val="2"/>
    <w:uiPriority w:val="9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6">
    <w:name w:val="标题 2 字符"/>
    <w:basedOn w:val="21"/>
    <w:link w:val="3"/>
    <w:semiHidden/>
    <w:uiPriority w:val="9"/>
    <w:rPr>
      <w:caps/>
      <w:spacing w:val="15"/>
      <w:shd w:val="clear" w:color="auto" w:fill="D9E2F3" w:themeFill="accent1" w:themeFillTint="33"/>
    </w:rPr>
  </w:style>
  <w:style w:type="character" w:customStyle="1" w:styleId="27">
    <w:name w:val="标题 3 字符"/>
    <w:basedOn w:val="21"/>
    <w:link w:val="4"/>
    <w:semiHidden/>
    <w:qFormat/>
    <w:uiPriority w:val="9"/>
    <w:rPr>
      <w:caps/>
      <w:color w:val="1F3863" w:themeColor="accent1" w:themeShade="7F"/>
      <w:spacing w:val="15"/>
    </w:rPr>
  </w:style>
  <w:style w:type="character" w:customStyle="1" w:styleId="28">
    <w:name w:val="标题 4 字符"/>
    <w:basedOn w:val="21"/>
    <w:link w:val="5"/>
    <w:semiHidden/>
    <w:uiPriority w:val="9"/>
    <w:rPr>
      <w:caps/>
      <w:color w:val="2F5496" w:themeColor="accent1" w:themeShade="BF"/>
      <w:spacing w:val="10"/>
    </w:rPr>
  </w:style>
  <w:style w:type="character" w:customStyle="1" w:styleId="29">
    <w:name w:val="标题 5 字符"/>
    <w:basedOn w:val="21"/>
    <w:link w:val="6"/>
    <w:semiHidden/>
    <w:uiPriority w:val="9"/>
    <w:rPr>
      <w:caps/>
      <w:color w:val="2F5496" w:themeColor="accent1" w:themeShade="BF"/>
      <w:spacing w:val="10"/>
    </w:rPr>
  </w:style>
  <w:style w:type="character" w:customStyle="1" w:styleId="30">
    <w:name w:val="标题 6 字符"/>
    <w:basedOn w:val="21"/>
    <w:link w:val="7"/>
    <w:semiHidden/>
    <w:uiPriority w:val="9"/>
    <w:rPr>
      <w:caps/>
      <w:color w:val="2F5496" w:themeColor="accent1" w:themeShade="BF"/>
      <w:spacing w:val="10"/>
    </w:rPr>
  </w:style>
  <w:style w:type="character" w:customStyle="1" w:styleId="31">
    <w:name w:val="标题 7 字符"/>
    <w:basedOn w:val="21"/>
    <w:link w:val="8"/>
    <w:semiHidden/>
    <w:qFormat/>
    <w:uiPriority w:val="9"/>
    <w:rPr>
      <w:caps/>
      <w:color w:val="2F5496" w:themeColor="accent1" w:themeShade="BF"/>
      <w:spacing w:val="10"/>
    </w:rPr>
  </w:style>
  <w:style w:type="character" w:customStyle="1" w:styleId="32">
    <w:name w:val="标题 8 字符"/>
    <w:basedOn w:val="21"/>
    <w:link w:val="9"/>
    <w:semiHidden/>
    <w:uiPriority w:val="9"/>
    <w:rPr>
      <w:caps/>
      <w:spacing w:val="10"/>
      <w:sz w:val="18"/>
      <w:szCs w:val="18"/>
    </w:rPr>
  </w:style>
  <w:style w:type="character" w:customStyle="1" w:styleId="33">
    <w:name w:val="标题 9 字符"/>
    <w:basedOn w:val="21"/>
    <w:link w:val="10"/>
    <w:semiHidden/>
    <w:uiPriority w:val="9"/>
    <w:rPr>
      <w:i/>
      <w:caps/>
      <w:spacing w:val="10"/>
      <w:sz w:val="18"/>
      <w:szCs w:val="18"/>
    </w:rPr>
  </w:style>
  <w:style w:type="character" w:customStyle="1" w:styleId="34">
    <w:name w:val="标题 字符"/>
    <w:basedOn w:val="21"/>
    <w:link w:val="18"/>
    <w:uiPriority w:val="10"/>
    <w:rPr>
      <w:caps/>
      <w:color w:val="4472C4" w:themeColor="accent1"/>
      <w:spacing w:val="10"/>
      <w:kern w:val="28"/>
      <w:sz w:val="52"/>
      <w:szCs w:val="52"/>
    </w:rPr>
  </w:style>
  <w:style w:type="character" w:customStyle="1" w:styleId="35">
    <w:name w:val="副标题 字符"/>
    <w:basedOn w:val="21"/>
    <w:link w:val="15"/>
    <w:qFormat/>
    <w:uiPriority w:val="11"/>
    <w:rPr>
      <w:caps/>
      <w:color w:val="585858" w:themeColor="text1" w:themeTint="A6"/>
      <w:spacing w:val="10"/>
      <w:sz w:val="24"/>
      <w:szCs w:val="24"/>
    </w:rPr>
  </w:style>
  <w:style w:type="paragraph" w:styleId="36">
    <w:name w:val="No Spacing"/>
    <w:basedOn w:val="1"/>
    <w:link w:val="37"/>
    <w:qFormat/>
    <w:uiPriority w:val="1"/>
  </w:style>
  <w:style w:type="character" w:customStyle="1" w:styleId="37">
    <w:name w:val="无间隔 字符"/>
    <w:basedOn w:val="21"/>
    <w:link w:val="36"/>
    <w:uiPriority w:val="1"/>
    <w:rPr>
      <w:sz w:val="20"/>
      <w:szCs w:val="20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paragraph" w:styleId="39">
    <w:name w:val="Quote"/>
    <w:basedOn w:val="1"/>
    <w:next w:val="1"/>
    <w:link w:val="40"/>
    <w:qFormat/>
    <w:uiPriority w:val="29"/>
    <w:rPr>
      <w:i/>
      <w:iCs/>
    </w:rPr>
  </w:style>
  <w:style w:type="character" w:customStyle="1" w:styleId="40">
    <w:name w:val="引用 字符"/>
    <w:basedOn w:val="21"/>
    <w:link w:val="39"/>
    <w:qFormat/>
    <w:uiPriority w:val="29"/>
    <w:rPr>
      <w:i/>
      <w:iCs/>
      <w:sz w:val="20"/>
      <w:szCs w:val="20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4472C4" w:themeColor="accent1" w:sz="4" w:space="10"/>
        <w:left w:val="single" w:color="4472C4" w:themeColor="accent1" w:sz="4" w:space="10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42">
    <w:name w:val="明显引用 字符"/>
    <w:basedOn w:val="21"/>
    <w:link w:val="41"/>
    <w:uiPriority w:val="30"/>
    <w:rPr>
      <w:i/>
      <w:iCs/>
      <w:color w:val="4472C4" w:themeColor="accent1"/>
      <w:sz w:val="20"/>
      <w:szCs w:val="20"/>
    </w:rPr>
  </w:style>
  <w:style w:type="character" w:customStyle="1" w:styleId="43">
    <w:name w:val="不明显强调1"/>
    <w:qFormat/>
    <w:uiPriority w:val="19"/>
    <w:rPr>
      <w:i/>
      <w:iCs/>
      <w:color w:val="1F3863" w:themeColor="accent1" w:themeShade="7F"/>
    </w:rPr>
  </w:style>
  <w:style w:type="character" w:customStyle="1" w:styleId="44">
    <w:name w:val="明显强调1"/>
    <w:qFormat/>
    <w:uiPriority w:val="21"/>
    <w:rPr>
      <w:b/>
      <w:bCs/>
      <w:caps/>
      <w:color w:val="1F3863" w:themeColor="accent1" w:themeShade="7F"/>
      <w:spacing w:val="10"/>
    </w:rPr>
  </w:style>
  <w:style w:type="character" w:customStyle="1" w:styleId="45">
    <w:name w:val="不明显参考1"/>
    <w:qFormat/>
    <w:uiPriority w:val="31"/>
    <w:rPr>
      <w:b/>
      <w:bCs/>
      <w:color w:val="4472C4" w:themeColor="accent1"/>
    </w:rPr>
  </w:style>
  <w:style w:type="character" w:customStyle="1" w:styleId="46">
    <w:name w:val="明显参考1"/>
    <w:qFormat/>
    <w:uiPriority w:val="32"/>
    <w:rPr>
      <w:b/>
      <w:bCs/>
      <w:i/>
      <w:iCs/>
      <w:caps/>
      <w:color w:val="4472C4" w:themeColor="accent1"/>
    </w:rPr>
  </w:style>
  <w:style w:type="character" w:customStyle="1" w:styleId="47">
    <w:name w:val="书籍标题1"/>
    <w:qFormat/>
    <w:uiPriority w:val="33"/>
    <w:rPr>
      <w:b/>
      <w:bCs/>
      <w:i/>
      <w:iCs/>
      <w:spacing w:val="9"/>
    </w:rPr>
  </w:style>
  <w:style w:type="paragraph" w:customStyle="1" w:styleId="48">
    <w:name w:val="TOC 标题1"/>
    <w:basedOn w:val="2"/>
    <w:next w:val="1"/>
    <w:semiHidden/>
    <w:unhideWhenUsed/>
    <w:qFormat/>
    <w:uiPriority w:val="39"/>
    <w:pPr>
      <w:outlineLvl w:val="9"/>
    </w:pPr>
  </w:style>
  <w:style w:type="paragraph" w:customStyle="1" w:styleId="49">
    <w:name w:val="修订1"/>
    <w:hidden/>
    <w:semiHidden/>
    <w:uiPriority w:val="99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50">
    <w:name w:val="editor-text-node"/>
    <w:basedOn w:val="21"/>
    <w:uiPriority w:val="0"/>
  </w:style>
  <w:style w:type="character" w:customStyle="1" w:styleId="51">
    <w:name w:val="正文文本 字符"/>
    <w:basedOn w:val="21"/>
    <w:link w:val="12"/>
    <w:uiPriority w:val="0"/>
    <w:rPr>
      <w:rFonts w:ascii="Times New Roman" w:hAnsi="Times New Roman" w:eastAsia="仿宋_GB2312" w:cs="Times New Roman"/>
      <w:kern w:val="2"/>
      <w:sz w:val="28"/>
      <w:szCs w:val="20"/>
    </w:rPr>
  </w:style>
  <w:style w:type="character" w:customStyle="1" w:styleId="52">
    <w:name w:val="页脚 字符"/>
    <w:basedOn w:val="21"/>
    <w:link w:val="1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53">
    <w:name w:val="font31"/>
    <w:basedOn w:val="2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54">
    <w:name w:val="font51"/>
    <w:basedOn w:val="21"/>
    <w:qFormat/>
    <w:uiPriority w:val="0"/>
    <w:rPr>
      <w:rFonts w:hint="default" w:ascii="楷体_GB2312" w:eastAsia="楷体_GB2312" w:cs="楷体_GB2312"/>
      <w:color w:val="000000"/>
      <w:sz w:val="18"/>
      <w:szCs w:val="18"/>
      <w:u w:val="none"/>
    </w:rPr>
  </w:style>
  <w:style w:type="character" w:customStyle="1" w:styleId="55">
    <w:name w:val="font41"/>
    <w:basedOn w:val="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56">
    <w:name w:val="正文-1标"/>
    <w:basedOn w:val="2"/>
    <w:link w:val="57"/>
    <w:qFormat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before="340" w:after="330" w:line="578" w:lineRule="auto"/>
      <w:jc w:val="center"/>
    </w:pPr>
    <w:rPr>
      <w:rFonts w:ascii="Times New Roman" w:hAnsi="Times New Roman" w:eastAsia="楷体_GB2312" w:cs="Times New Roman"/>
      <w:caps w:val="0"/>
      <w:kern w:val="44"/>
      <w:sz w:val="32"/>
      <w:szCs w:val="44"/>
    </w:rPr>
  </w:style>
  <w:style w:type="character" w:customStyle="1" w:styleId="57">
    <w:name w:val="正文-1标 字符"/>
    <w:basedOn w:val="25"/>
    <w:link w:val="56"/>
    <w:uiPriority w:val="0"/>
    <w:rPr>
      <w:rFonts w:ascii="Times New Roman" w:hAnsi="Times New Roman" w:eastAsia="楷体_GB2312" w:cs="Times New Roman"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58">
    <w:name w:val="p15"/>
    <w:basedOn w:val="1"/>
    <w:qFormat/>
    <w:uiPriority w:val="0"/>
    <w:pPr>
      <w:spacing w:line="560" w:lineRule="atLeast"/>
      <w:ind w:left="471" w:firstLine="420"/>
      <w:jc w:val="both"/>
    </w:pPr>
    <w:rPr>
      <w:rFonts w:ascii="Times New Roman" w:hAnsi="Times New Roman" w:eastAsia="楷体_GB2312" w:cs="Times New Roman"/>
    </w:rPr>
  </w:style>
  <w:style w:type="character" w:customStyle="1" w:styleId="59">
    <w:name w:val="HTML 预设格式 字符"/>
    <w:basedOn w:val="21"/>
    <w:link w:val="16"/>
    <w:semiHidden/>
    <w:uiPriority w:val="99"/>
    <w:rPr>
      <w:rFonts w:ascii="宋体" w:hAnsi="宋体" w:eastAsia="宋体" w:cs="宋体"/>
      <w:sz w:val="24"/>
      <w:szCs w:val="24"/>
    </w:rPr>
  </w:style>
  <w:style w:type="character" w:customStyle="1" w:styleId="60">
    <w:name w:val="页眉 字符"/>
    <w:basedOn w:val="21"/>
    <w:link w:val="14"/>
    <w:uiPriority w:val="99"/>
    <w:rPr>
      <w:rFonts w:ascii="宋体" w:hAnsi="宋体" w:eastAsia="宋体" w:cs="宋体"/>
      <w:sz w:val="18"/>
      <w:szCs w:val="18"/>
    </w:rPr>
  </w:style>
  <w:style w:type="character" w:customStyle="1" w:styleId="61">
    <w:name w:val="font01"/>
    <w:basedOn w:val="21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6"/>
    <customShpInfo spid="_x0000_s1065"/>
    <customShpInfo spid="_x0000_s1064"/>
    <customShpInfo spid="_x0000_s1063"/>
    <customShpInfo spid="_x0000_s1062"/>
    <customShpInfo spid="_x0000_s1061"/>
    <customShpInfo spid="_x0000_s1060"/>
    <customShpInfo spid="_x0000_s1059"/>
    <customShpInfo spid="_x0000_s1058"/>
    <customShpInfo spid="_x0000_s1057"/>
    <customShpInfo spid="_x0000_s1056"/>
    <customShpInfo spid="_x0000_s1055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上海建桥学院</Company>
  <Pages>9</Pages>
  <Words>739</Words>
  <Characters>4213</Characters>
  <Lines>35</Lines>
  <Paragraphs>9</Paragraphs>
  <TotalTime>1</TotalTime>
  <ScaleCrop>false</ScaleCrop>
  <LinksUpToDate>false</LinksUpToDate>
  <CharactersWithSpaces>4943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2022-11-12T23:11:00Z</dcterms:created>
  <dc:creator>um13</dc:creator>
  <cp:lastModifiedBy>娑婆行者</cp:lastModifiedBy>
  <cp:lastPrinted>2022-11-14T13:35:00Z</cp:lastPrinted>
  <dcterms:modified xsi:type="dcterms:W3CDTF">2023-08-10T18:36:05Z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8F0F0C982F824210AF39396BE228346C</vt:lpwstr>
  </property>
</Properties>
</file>