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_GB2312" w:hAnsi="宋体" w:eastAsia="仿宋_GB2312" w:cs="仿宋_GB2312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2018年达标评估专业整改“回头看”评审及汇报安排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>一、评估整改回头看评审专家名单及评估时间地点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评估时间：</w:t>
      </w:r>
      <w:r>
        <w:rPr>
          <w:rFonts w:hint="eastAsia" w:ascii="华文仿宋" w:hAnsi="华文仿宋" w:eastAsia="华文仿宋" w:cs="华文仿宋"/>
          <w:highlight w:val="yellow"/>
          <w:lang w:val="en-US" w:eastAsia="zh-CN"/>
        </w:rPr>
        <w:t>2019年6月19日（周三）</w:t>
      </w:r>
      <w:r>
        <w:rPr>
          <w:rFonts w:hint="eastAsia" w:ascii="华文仿宋" w:hAnsi="华文仿宋" w:eastAsia="华文仿宋" w:cs="华文仿宋"/>
          <w:lang w:val="en-US" w:eastAsia="zh-CN"/>
        </w:rPr>
        <w:t xml:space="preserve"> 8：30~15：40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主会场：图书馆612</w:t>
      </w:r>
    </w:p>
    <w:p>
      <w:pPr>
        <w:numPr>
          <w:ilvl w:val="0"/>
          <w:numId w:val="0"/>
        </w:numPr>
        <w:rPr>
          <w:rFonts w:hint="default" w:ascii="华文仿宋" w:hAnsi="华文仿宋" w:eastAsia="华文仿宋" w:cs="华文仿宋"/>
          <w:lang w:val="en-US" w:eastAsia="zh-CN"/>
        </w:rPr>
      </w:pPr>
      <w:r>
        <w:rPr>
          <w:rFonts w:hint="eastAsia" w:ascii="华文仿宋" w:hAnsi="华文仿宋" w:eastAsia="华文仿宋" w:cs="华文仿宋"/>
          <w:lang w:val="en-US" w:eastAsia="zh-CN"/>
        </w:rPr>
        <w:t>分会场：相关学院见下表</w:t>
      </w:r>
    </w:p>
    <w:p>
      <w:pPr>
        <w:numPr>
          <w:ilvl w:val="0"/>
          <w:numId w:val="0"/>
        </w:numPr>
        <w:jc w:val="center"/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 w:val="0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2018年达标评估专业整改“回头看”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  <w:t>评估专家安排表</w:t>
      </w:r>
    </w:p>
    <w:tbl>
      <w:tblPr>
        <w:tblStyle w:val="2"/>
        <w:tblW w:w="814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137"/>
        <w:gridCol w:w="1888"/>
        <w:gridCol w:w="1187"/>
        <w:gridCol w:w="1050"/>
        <w:gridCol w:w="988"/>
        <w:gridCol w:w="10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门类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组长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副组长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专家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文科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外国语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英语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艺术设计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3441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徐伯庆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陈峥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周荣玲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马长伟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艺术设计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视觉传达设计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艺术设计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环境（艺术）设计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艺术设计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数字媒体艺术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工科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珠宝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宝石及材料工艺学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信息</w:t>
            </w:r>
          </w:p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7205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张家钰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刘锦高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刘立华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苏厚勤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机电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汽车服务工程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信息技术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商科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电子商务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商学院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8305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周小理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徐方勤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徐磊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韩兴勇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br w:type="textWrapping"/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工程管理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商学院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  <w:t>会计学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</w:pPr>
    </w:p>
    <w:tbl>
      <w:tblPr>
        <w:tblStyle w:val="3"/>
        <w:tblpPr w:leftFromText="180" w:rightFromText="180" w:vertAnchor="text" w:tblpX="10214" w:tblpY="620"/>
        <w:tblOverlap w:val="never"/>
        <w:tblW w:w="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71" w:type="dxa"/>
          </w:tcPr>
          <w:p>
            <w:pPr>
              <w:numPr>
                <w:ilvl w:val="0"/>
                <w:numId w:val="1"/>
              </w:numP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4"/>
          <w:szCs w:val="24"/>
          <w:lang w:val="en-US" w:eastAsia="zh-CN"/>
        </w:rPr>
        <w:t xml:space="preserve">二、评估安排  </w:t>
      </w:r>
    </w:p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  <w:t>主会场安排，地点：图书馆612</w:t>
      </w:r>
    </w:p>
    <w:tbl>
      <w:tblPr>
        <w:tblStyle w:val="2"/>
        <w:tblW w:w="833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1"/>
        <w:gridCol w:w="624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09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62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9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8：30 — 10：00</w:t>
            </w:r>
          </w:p>
        </w:tc>
        <w:tc>
          <w:tcPr>
            <w:tcW w:w="624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专家组预备会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9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材料预审（专业整改/改进方案）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91" w:type="dxa"/>
            <w:tcBorders>
              <w:top w:val="nil"/>
              <w:left w:val="single" w:color="000000" w:sz="8" w:space="0"/>
              <w:bottom w:val="single" w:color="auto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10：00 — 15：00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专家评审（相关学院）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2091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15：00 — 15：40</w:t>
            </w:r>
          </w:p>
        </w:tc>
        <w:tc>
          <w:tcPr>
            <w:tcW w:w="6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集中反馈</w:t>
            </w:r>
          </w:p>
        </w:tc>
      </w:tr>
    </w:tbl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  <w:t>文科组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  <w:lang w:eastAsia="zh-CN"/>
        </w:rPr>
        <w:t>分会场安排，地点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  <w:t>:艺术设计3441</w:t>
      </w:r>
      <w: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  <w:br w:type="textWrapping"/>
      </w:r>
    </w:p>
    <w:tbl>
      <w:tblPr>
        <w:tblStyle w:val="2"/>
        <w:tblW w:w="83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596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时间（上午）</w:t>
            </w:r>
          </w:p>
        </w:tc>
        <w:tc>
          <w:tcPr>
            <w:tcW w:w="59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10：00 — 10：15</w:t>
            </w:r>
          </w:p>
        </w:tc>
        <w:tc>
          <w:tcPr>
            <w:tcW w:w="5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外语学院汇报整改总体情况（15分钟）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10：15 —10:30</w:t>
            </w:r>
          </w:p>
        </w:tc>
        <w:tc>
          <w:tcPr>
            <w:tcW w:w="59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英语专业汇报专业整改情况（15分钟）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55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10：30 —10:45</w:t>
            </w:r>
          </w:p>
        </w:tc>
        <w:tc>
          <w:tcPr>
            <w:tcW w:w="596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专家提问（15分钟）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10：45 —11:00</w:t>
            </w:r>
          </w:p>
        </w:tc>
        <w:tc>
          <w:tcPr>
            <w:tcW w:w="5963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艺术设计学院汇报整改总体情况（15分钟）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318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13：00 —14:30</w:t>
            </w:r>
          </w:p>
        </w:tc>
        <w:tc>
          <w:tcPr>
            <w:tcW w:w="596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视觉、环境、数字媒体艺术专业汇报专业整改情况各15分钟+专家提问各15分钟；共90分钟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14:30-15:00</w:t>
            </w:r>
          </w:p>
        </w:tc>
        <w:tc>
          <w:tcPr>
            <w:tcW w:w="5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专家组合议，查看资料，形成评估总体意见（30分钟）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1"/>
          <w:szCs w:val="21"/>
        </w:rPr>
      </w:pPr>
    </w:p>
    <w:p>
      <w:pP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  <w:t>工科组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  <w:lang w:eastAsia="zh-CN"/>
        </w:rPr>
        <w:t>分会场安排，地点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  <w:t>:信息7205</w:t>
      </w:r>
    </w:p>
    <w:tbl>
      <w:tblPr>
        <w:tblStyle w:val="2"/>
        <w:tblW w:w="831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596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时间（上午/下午）</w:t>
            </w:r>
          </w:p>
        </w:tc>
        <w:tc>
          <w:tcPr>
            <w:tcW w:w="5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10：00 — 10：15</w:t>
            </w:r>
          </w:p>
        </w:tc>
        <w:tc>
          <w:tcPr>
            <w:tcW w:w="5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珠宝学院汇报整改总体情况（15分钟）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10：15 —10:30</w:t>
            </w:r>
          </w:p>
        </w:tc>
        <w:tc>
          <w:tcPr>
            <w:tcW w:w="5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宝石专业汇报专业整改情况（15分钟）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10：30 —10:45</w:t>
            </w:r>
          </w:p>
        </w:tc>
        <w:tc>
          <w:tcPr>
            <w:tcW w:w="5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专家提问（15分钟）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10：45 —11:00</w:t>
            </w:r>
          </w:p>
        </w:tc>
        <w:tc>
          <w:tcPr>
            <w:tcW w:w="5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机电学院汇报整改总体情况（15分钟）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11：00 —11:30</w:t>
            </w:r>
          </w:p>
        </w:tc>
        <w:tc>
          <w:tcPr>
            <w:tcW w:w="5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汽车专业汇报专业整改情况+专家提问各15分钟，共30分钟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83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13：00 —13:15</w:t>
            </w:r>
          </w:p>
        </w:tc>
        <w:tc>
          <w:tcPr>
            <w:tcW w:w="5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信息技术学院汇报整改总体情况（15分钟）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13：15 —13:45</w:t>
            </w:r>
          </w:p>
        </w:tc>
        <w:tc>
          <w:tcPr>
            <w:tcW w:w="59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计算机科学与技术汇报专业整改情况+专家提问各15分钟，共30分钟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355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13:45-14:15</w:t>
            </w:r>
          </w:p>
        </w:tc>
        <w:tc>
          <w:tcPr>
            <w:tcW w:w="596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专家组合议，查看资料，形成评估总体意见（30分钟）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  <w:t>商科组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  <w:lang w:eastAsia="zh-CN"/>
        </w:rPr>
        <w:t>分会场安排，地点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  <w:t>:商学院8305</w:t>
      </w:r>
      <w:r>
        <w:rPr>
          <w:rFonts w:hint="eastAsia" w:ascii="华文仿宋" w:hAnsi="华文仿宋" w:eastAsia="华文仿宋" w:cs="华文仿宋"/>
          <w:b/>
          <w:bCs/>
          <w:sz w:val="21"/>
          <w:szCs w:val="21"/>
          <w:lang w:val="en-US" w:eastAsia="zh-CN"/>
        </w:rPr>
        <w:br w:type="textWrapping"/>
      </w:r>
    </w:p>
    <w:tbl>
      <w:tblPr>
        <w:tblStyle w:val="2"/>
        <w:tblW w:w="839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5"/>
        <w:gridCol w:w="603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时间（上午）</w:t>
            </w:r>
          </w:p>
        </w:tc>
        <w:tc>
          <w:tcPr>
            <w:tcW w:w="60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10：00 — 10：15</w:t>
            </w:r>
          </w:p>
        </w:tc>
        <w:tc>
          <w:tcPr>
            <w:tcW w:w="60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商学院汇报整改总体情况（15分钟）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10：15 —11:15</w:t>
            </w:r>
          </w:p>
        </w:tc>
        <w:tc>
          <w:tcPr>
            <w:tcW w:w="6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电子商务、工程管理汇报专业整改情况（各15分钟）+专家提问（各15分钟）；共60分钟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39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午餐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13：00 —13:30</w:t>
            </w:r>
          </w:p>
        </w:tc>
        <w:tc>
          <w:tcPr>
            <w:tcW w:w="6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会计学专业汇报专业整改情况+专家提问各15分钟，共30分钟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3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13:30-14:00</w:t>
            </w:r>
          </w:p>
        </w:tc>
        <w:tc>
          <w:tcPr>
            <w:tcW w:w="6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专家组合议，查看资料，形成评估总体意见 （30分钟）</w:t>
            </w:r>
          </w:p>
        </w:tc>
      </w:tr>
    </w:tbl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8"/>
          <w:szCs w:val="28"/>
          <w:highlight w:val="yellow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8"/>
          <w:szCs w:val="28"/>
          <w:highlight w:val="yellow"/>
          <w:u w:val="none"/>
          <w:lang w:val="en-US" w:eastAsia="zh-CN" w:bidi="ar"/>
        </w:rPr>
        <w:t>三、学院汇报内容：（15分钟）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学院按审核评估的指标要点为主线，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汇报以下内容;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专业定位与目标（有无结合国家、地区、学校定位）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教学业务费使用情况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师资队伍是否与基本数据年报相一致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专业师资队伍改进情况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实验室队伍情况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科研项目与专业建设相关性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学风建设</w:t>
      </w:r>
    </w:p>
    <w:p>
      <w:pPr>
        <w:pStyle w:val="5"/>
        <w:numPr>
          <w:ilvl w:val="0"/>
          <w:numId w:val="0"/>
        </w:numPr>
        <w:ind w:leftChars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四、专业汇报内容：（15分钟）提问不超过15分钟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1.以学期为时间节点，按照一级指标体系，有整改项的汇报整改情况；没有整改项的汇报改进情况。内容包括整改或改进任务、预期成效、完成时间。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2.重点汇报以下内容：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专业定位与目标（有无结合国家、地区、学校定位）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专业生均培养费情况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师资队伍是否与基本数据年报相一致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专业师资队伍改进情况、专业带头人实践基地落实问题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实验室达标创优、扶持资金（实践教学体系）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有无16级大纲的电子汇编本；17、18级的纸质本；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ind w:left="420" w:leftChars="0" w:hanging="420" w:firstLineChars="0"/>
        <w:jc w:val="left"/>
        <w:textAlignment w:val="center"/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重点课程的课程改善历程报告</w:t>
      </w: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21"/>
          <w:szCs w:val="21"/>
          <w:lang w:val="en-US" w:eastAsia="zh-CN"/>
        </w:rPr>
      </w:pPr>
    </w:p>
    <w:p>
      <w:pPr>
        <w:jc w:val="right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教务处</w:t>
      </w:r>
    </w:p>
    <w:p>
      <w:pPr>
        <w:jc w:val="right"/>
        <w:rPr>
          <w:rFonts w:hint="eastAsia" w:ascii="华文仿宋" w:hAnsi="华文仿宋" w:eastAsia="华文仿宋" w:cs="华文仿宋"/>
          <w:sz w:val="24"/>
          <w:szCs w:val="24"/>
          <w:highlight w:val="none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highlight w:val="none"/>
          <w:lang w:val="en-US" w:eastAsia="zh-CN"/>
        </w:rPr>
        <w:t>2019年6月9日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C1FDE72"/>
    <w:multiLevelType w:val="singleLevel"/>
    <w:tmpl w:val="AC1FDE7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9711515"/>
    <w:multiLevelType w:val="singleLevel"/>
    <w:tmpl w:val="F971151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C6CE0"/>
    <w:rsid w:val="088F5558"/>
    <w:rsid w:val="15094AD2"/>
    <w:rsid w:val="16FE19AC"/>
    <w:rsid w:val="1A527C43"/>
    <w:rsid w:val="1A6A55EF"/>
    <w:rsid w:val="29D54426"/>
    <w:rsid w:val="314F57CE"/>
    <w:rsid w:val="3D416DAA"/>
    <w:rsid w:val="410122E3"/>
    <w:rsid w:val="45FD4093"/>
    <w:rsid w:val="46D6683C"/>
    <w:rsid w:val="4EFF1BFC"/>
    <w:rsid w:val="507A5EC5"/>
    <w:rsid w:val="5180000D"/>
    <w:rsid w:val="6589683C"/>
    <w:rsid w:val="677E67CE"/>
    <w:rsid w:val="73D209E2"/>
    <w:rsid w:val="747D66F7"/>
    <w:rsid w:val="762E14DE"/>
    <w:rsid w:val="7D25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2019-11-18T06:55:56Z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