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ED5" w:rsidRDefault="0080541F">
      <w:pPr>
        <w:tabs>
          <w:tab w:val="left" w:pos="1861"/>
        </w:tabs>
        <w:spacing w:line="480" w:lineRule="auto"/>
        <w:jc w:val="center"/>
        <w:rPr>
          <w:rFonts w:ascii="黑体" w:eastAsia="黑体" w:hAnsi="黑体"/>
          <w:b/>
          <w:color w:val="000000"/>
          <w:sz w:val="32"/>
          <w:szCs w:val="32"/>
        </w:rPr>
      </w:pPr>
      <w:r>
        <w:rPr>
          <w:rFonts w:ascii="黑体" w:eastAsia="黑体" w:hAnsi="黑体" w:hint="eastAsia"/>
          <w:b/>
          <w:color w:val="000000"/>
          <w:sz w:val="32"/>
          <w:szCs w:val="32"/>
        </w:rPr>
        <w:t>2017</w:t>
      </w:r>
      <w:r>
        <w:rPr>
          <w:rFonts w:ascii="黑体" w:eastAsia="黑体" w:hAnsi="黑体" w:hint="eastAsia"/>
          <w:b/>
          <w:color w:val="000000"/>
          <w:sz w:val="32"/>
          <w:szCs w:val="32"/>
        </w:rPr>
        <w:t>年第三届上海市民办高校教师教学技能大赛</w:t>
      </w:r>
    </w:p>
    <w:p w:rsidR="00E27ED5" w:rsidRDefault="0080541F">
      <w:pPr>
        <w:tabs>
          <w:tab w:val="left" w:pos="1861"/>
        </w:tabs>
        <w:spacing w:line="480" w:lineRule="auto"/>
        <w:jc w:val="center"/>
      </w:pPr>
      <w:r>
        <w:rPr>
          <w:rFonts w:ascii="黑体" w:eastAsia="黑体" w:hAnsi="黑体" w:hint="eastAsia"/>
          <w:b/>
          <w:color w:val="000000"/>
          <w:sz w:val="32"/>
          <w:szCs w:val="32"/>
        </w:rPr>
        <w:t>参赛教案</w:t>
      </w:r>
    </w:p>
    <w:p w:rsidR="00E27ED5" w:rsidRDefault="00E27ED5"/>
    <w:tbl>
      <w:tblPr>
        <w:tblW w:w="7655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Look w:val="04A0"/>
      </w:tblPr>
      <w:tblGrid>
        <w:gridCol w:w="3586"/>
        <w:gridCol w:w="4069"/>
      </w:tblGrid>
      <w:tr w:rsidR="00E27ED5">
        <w:tc>
          <w:tcPr>
            <w:tcW w:w="7655" w:type="dxa"/>
            <w:gridSpan w:val="2"/>
            <w:shd w:val="clear" w:color="auto" w:fill="auto"/>
          </w:tcPr>
          <w:p w:rsidR="00E27ED5" w:rsidRDefault="007942D0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课程名称:首饰专题设计</w:t>
            </w:r>
          </w:p>
        </w:tc>
      </w:tr>
      <w:tr w:rsidR="00E27ED5">
        <w:tc>
          <w:tcPr>
            <w:tcW w:w="7655" w:type="dxa"/>
            <w:gridSpan w:val="2"/>
            <w:shd w:val="clear" w:color="auto" w:fill="auto"/>
          </w:tcPr>
          <w:p w:rsidR="00E27ED5" w:rsidRDefault="0080541F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本次教学主题（章、节）：</w:t>
            </w:r>
            <w:r w:rsidR="001D6595">
              <w:rPr>
                <w:rFonts w:ascii="仿宋" w:eastAsia="仿宋" w:hAnsi="仿宋" w:hint="eastAsia"/>
                <w:sz w:val="24"/>
                <w:szCs w:val="24"/>
              </w:rPr>
              <w:t>第一章 首饰专题设计概论 第二节 不同</w:t>
            </w:r>
            <w:r w:rsidR="00977BC9">
              <w:rPr>
                <w:rFonts w:ascii="仿宋" w:eastAsia="仿宋" w:hAnsi="仿宋" w:hint="eastAsia"/>
                <w:sz w:val="24"/>
                <w:szCs w:val="24"/>
              </w:rPr>
              <w:t>上色</w:t>
            </w:r>
            <w:r w:rsidR="001D6595">
              <w:rPr>
                <w:rFonts w:ascii="仿宋" w:eastAsia="仿宋" w:hAnsi="仿宋" w:hint="eastAsia"/>
                <w:sz w:val="24"/>
                <w:szCs w:val="24"/>
              </w:rPr>
              <w:t>工具绘制特点及应用</w:t>
            </w:r>
          </w:p>
        </w:tc>
      </w:tr>
      <w:tr w:rsidR="00E27ED5">
        <w:tc>
          <w:tcPr>
            <w:tcW w:w="7655" w:type="dxa"/>
            <w:gridSpan w:val="2"/>
            <w:shd w:val="clear" w:color="auto" w:fill="auto"/>
          </w:tcPr>
          <w:p w:rsidR="00E27ED5" w:rsidRDefault="0080541F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教学对象：</w:t>
            </w:r>
            <w:r w:rsidR="00F61010">
              <w:rPr>
                <w:rFonts w:ascii="仿宋" w:eastAsia="仿宋" w:hAnsi="仿宋" w:hint="eastAsia"/>
                <w:sz w:val="24"/>
                <w:szCs w:val="24"/>
              </w:rPr>
              <w:t>产品设计（珠宝首饰设计）专业</w:t>
            </w:r>
            <w:r w:rsidR="00281979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F61010">
              <w:rPr>
                <w:rFonts w:ascii="仿宋" w:eastAsia="仿宋" w:hAnsi="仿宋" w:hint="eastAsia"/>
                <w:sz w:val="24"/>
                <w:szCs w:val="24"/>
              </w:rPr>
              <w:t>大三</w:t>
            </w:r>
          </w:p>
        </w:tc>
      </w:tr>
      <w:tr w:rsidR="00E27ED5">
        <w:tc>
          <w:tcPr>
            <w:tcW w:w="7655" w:type="dxa"/>
            <w:gridSpan w:val="2"/>
            <w:shd w:val="clear" w:color="auto" w:fill="auto"/>
          </w:tcPr>
          <w:p w:rsidR="00E27ED5" w:rsidRDefault="0080541F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教学时间：</w:t>
            </w:r>
            <w:r w:rsidR="00F61010">
              <w:rPr>
                <w:rFonts w:ascii="仿宋" w:eastAsia="仿宋" w:hAnsi="仿宋" w:hint="eastAsia"/>
                <w:sz w:val="24"/>
                <w:szCs w:val="24"/>
              </w:rPr>
              <w:t>45分钟</w:t>
            </w:r>
          </w:p>
        </w:tc>
      </w:tr>
      <w:tr w:rsidR="00E27ED5">
        <w:tc>
          <w:tcPr>
            <w:tcW w:w="7655" w:type="dxa"/>
            <w:gridSpan w:val="2"/>
            <w:shd w:val="clear" w:color="auto" w:fill="auto"/>
          </w:tcPr>
          <w:p w:rsidR="00F61010" w:rsidRDefault="0080541F" w:rsidP="00F61010">
            <w:pPr>
              <w:adjustRightInd w:val="0"/>
              <w:snapToGrid w:val="0"/>
              <w:ind w:left="1200" w:right="-50" w:hangingChars="500" w:hanging="1200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教学目标：</w:t>
            </w:r>
          </w:p>
          <w:p w:rsidR="00F61010" w:rsidRDefault="00F61010" w:rsidP="00977BC9">
            <w:pPr>
              <w:adjustRightInd w:val="0"/>
              <w:snapToGrid w:val="0"/>
              <w:ind w:left="1054" w:right="-50" w:hangingChars="500" w:hanging="1054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977BC9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知识目标：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使学生能够清楚地理解和辨别不同</w:t>
            </w:r>
            <w:r w:rsidR="00977BC9">
              <w:rPr>
                <w:rFonts w:ascii="仿宋_GB2312" w:eastAsia="仿宋_GB2312" w:hAnsi="宋体" w:cs="Times New Roman" w:hint="eastAsia"/>
                <w:bCs/>
                <w:szCs w:val="21"/>
              </w:rPr>
              <w:t>上色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工具的绘制效果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和应用场合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，</w:t>
            </w:r>
            <w:r w:rsidRPr="000D218A">
              <w:rPr>
                <w:rFonts w:ascii="仿宋_GB2312" w:eastAsia="仿宋_GB2312" w:hAnsi="宋体" w:cs="Times New Roman" w:hint="eastAsia"/>
                <w:bCs/>
                <w:szCs w:val="21"/>
              </w:rPr>
              <w:t>掌握不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同</w:t>
            </w:r>
            <w:r w:rsidRPr="000D218A">
              <w:rPr>
                <w:rFonts w:ascii="仿宋_GB2312" w:eastAsia="仿宋_GB2312" w:hAnsi="宋体" w:cs="Times New Roman" w:hint="eastAsia"/>
                <w:bCs/>
                <w:szCs w:val="21"/>
              </w:rPr>
              <w:t>上色工具的特性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和绘制方法</w:t>
            </w:r>
            <w:r w:rsidRPr="000D218A">
              <w:rPr>
                <w:rFonts w:ascii="仿宋_GB2312" w:eastAsia="仿宋_GB2312" w:hAnsi="宋体" w:cs="Times New Roman" w:hint="eastAsia"/>
                <w:bCs/>
                <w:szCs w:val="21"/>
              </w:rPr>
              <w:t>等理论知识。</w:t>
            </w:r>
          </w:p>
          <w:p w:rsidR="00F61010" w:rsidRDefault="00F61010" w:rsidP="00977BC9">
            <w:pPr>
              <w:adjustRightInd w:val="0"/>
              <w:snapToGrid w:val="0"/>
              <w:ind w:left="1054" w:right="-50" w:hangingChars="500" w:hanging="1054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977BC9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能力目标：</w:t>
            </w:r>
            <w:r w:rsidR="000525F6">
              <w:rPr>
                <w:rFonts w:ascii="仿宋_GB2312" w:eastAsia="仿宋_GB2312" w:hAnsi="宋体" w:hint="eastAsia"/>
                <w:bCs/>
                <w:szCs w:val="21"/>
              </w:rPr>
              <w:t>综合运用不同的</w:t>
            </w:r>
            <w:r w:rsidRPr="000D218A">
              <w:rPr>
                <w:rFonts w:ascii="仿宋_GB2312" w:eastAsia="仿宋_GB2312" w:hAnsi="宋体" w:cs="Times New Roman" w:hint="eastAsia"/>
                <w:bCs/>
                <w:szCs w:val="21"/>
              </w:rPr>
              <w:t>手绘上色工具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进行首饰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设计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款式的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绘制和表现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，并准确地根据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主</w:t>
            </w:r>
            <w:r w:rsidR="000525F6">
              <w:rPr>
                <w:rFonts w:ascii="仿宋_GB2312" w:eastAsia="仿宋_GB2312" w:hAnsi="宋体" w:hint="eastAsia"/>
                <w:bCs/>
                <w:szCs w:val="21"/>
              </w:rPr>
              <w:t>题、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内容和</w:t>
            </w:r>
            <w:r w:rsidR="000525F6">
              <w:rPr>
                <w:rFonts w:ascii="仿宋_GB2312" w:eastAsia="仿宋_GB2312" w:hAnsi="宋体" w:hint="eastAsia"/>
                <w:bCs/>
                <w:szCs w:val="21"/>
              </w:rPr>
              <w:t>设计</w:t>
            </w:r>
            <w:r w:rsidR="005D73F4">
              <w:rPr>
                <w:rFonts w:ascii="仿宋_GB2312" w:eastAsia="仿宋_GB2312" w:hAnsi="宋体" w:hint="eastAsia"/>
                <w:bCs/>
                <w:szCs w:val="21"/>
              </w:rPr>
              <w:t>场合</w:t>
            </w:r>
            <w:r w:rsidR="000525F6">
              <w:rPr>
                <w:rFonts w:ascii="仿宋_GB2312" w:eastAsia="仿宋_GB2312" w:hAnsi="宋体" w:hint="eastAsia"/>
                <w:bCs/>
                <w:szCs w:val="21"/>
              </w:rPr>
              <w:t>需求进行分析和运用，达到对绘制技法的综合运用，巩固专业</w:t>
            </w:r>
            <w:r w:rsidR="00977BC9">
              <w:rPr>
                <w:rFonts w:ascii="仿宋_GB2312" w:eastAsia="仿宋_GB2312" w:hAnsi="宋体" w:hint="eastAsia"/>
                <w:bCs/>
                <w:szCs w:val="21"/>
              </w:rPr>
              <w:t>手绘</w:t>
            </w:r>
            <w:r w:rsidR="000525F6">
              <w:rPr>
                <w:rFonts w:ascii="仿宋_GB2312" w:eastAsia="仿宋_GB2312" w:hAnsi="宋体" w:hint="eastAsia"/>
                <w:bCs/>
                <w:szCs w:val="21"/>
              </w:rPr>
              <w:t>技能</w:t>
            </w:r>
            <w:r w:rsidR="00977BC9"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  <w:p w:rsidR="00F61010" w:rsidRDefault="00F61010" w:rsidP="00977BC9">
            <w:pPr>
              <w:adjustRightInd w:val="0"/>
              <w:snapToGrid w:val="0"/>
              <w:ind w:left="1054" w:right="-50" w:hangingChars="500" w:hanging="1054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977BC9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情感目标：</w:t>
            </w:r>
            <w:r w:rsidRPr="000D218A">
              <w:rPr>
                <w:rFonts w:ascii="仿宋_GB2312" w:eastAsia="仿宋_GB2312" w:hAnsi="宋体" w:cs="Times New Roman" w:hint="eastAsia"/>
                <w:bCs/>
                <w:szCs w:val="21"/>
              </w:rPr>
              <w:t>通过大量手绘图片的展示及相应的手绘上色工具的实验性运用，使学生对此门课程产生喜爱，更有动力地学好这门课程</w:t>
            </w:r>
            <w:r w:rsidR="000525F6">
              <w:rPr>
                <w:rFonts w:ascii="仿宋_GB2312" w:eastAsia="仿宋_GB2312" w:hAnsi="宋体" w:hint="eastAsia"/>
                <w:bCs/>
                <w:szCs w:val="21"/>
              </w:rPr>
              <w:t>，并产生对该专业浓厚的兴趣和增加对该专业的投入度和认同感。</w:t>
            </w:r>
          </w:p>
          <w:p w:rsidR="00E27ED5" w:rsidRPr="00F61010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27ED5">
        <w:tc>
          <w:tcPr>
            <w:tcW w:w="7655" w:type="dxa"/>
            <w:gridSpan w:val="2"/>
            <w:shd w:val="clear" w:color="auto" w:fill="auto"/>
          </w:tcPr>
          <w:p w:rsidR="00281979" w:rsidRDefault="0080541F" w:rsidP="000525F6">
            <w:pPr>
              <w:adjustRightInd w:val="0"/>
              <w:snapToGrid w:val="0"/>
              <w:ind w:right="-50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教学重点、难点</w:t>
            </w:r>
          </w:p>
          <w:p w:rsidR="000525F6" w:rsidRPr="00A468FC" w:rsidRDefault="000525F6" w:rsidP="000525F6">
            <w:pPr>
              <w:adjustRightInd w:val="0"/>
              <w:snapToGrid w:val="0"/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281979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重点：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>不同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上色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>工具（水粉、水彩、彩铅、马克笔）的</w:t>
            </w:r>
            <w:r w:rsidR="00281979">
              <w:rPr>
                <w:rFonts w:ascii="仿宋_GB2312" w:eastAsia="仿宋_GB2312" w:hAnsi="宋体" w:hint="eastAsia"/>
                <w:bCs/>
                <w:szCs w:val="21"/>
              </w:rPr>
              <w:t>绘制技法</w:t>
            </w:r>
            <w:r w:rsidR="00977BC9">
              <w:rPr>
                <w:rFonts w:ascii="仿宋_GB2312" w:eastAsia="仿宋_GB2312" w:hAnsi="宋体" w:cs="Times New Roman" w:hint="eastAsia"/>
                <w:bCs/>
                <w:szCs w:val="21"/>
              </w:rPr>
              <w:t>和</w:t>
            </w:r>
            <w:r w:rsidR="00281979">
              <w:rPr>
                <w:rFonts w:ascii="仿宋_GB2312" w:eastAsia="仿宋_GB2312" w:hAnsi="宋体" w:hint="eastAsia"/>
                <w:bCs/>
                <w:szCs w:val="21"/>
              </w:rPr>
              <w:t>效果展现及适用场合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>。</w:t>
            </w:r>
          </w:p>
          <w:p w:rsidR="000525F6" w:rsidRPr="00A468FC" w:rsidRDefault="000525F6" w:rsidP="000525F6">
            <w:pPr>
              <w:adjustRightInd w:val="0"/>
              <w:snapToGrid w:val="0"/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281979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重点问题解决办法：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通过结合实际图例</w:t>
            </w:r>
            <w:r w:rsidR="00281979">
              <w:rPr>
                <w:rFonts w:ascii="仿宋_GB2312" w:eastAsia="仿宋_GB2312" w:hAnsi="宋体" w:hint="eastAsia"/>
                <w:bCs/>
                <w:szCs w:val="21"/>
              </w:rPr>
              <w:t>（ppt图例、实物范画）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分析进行逐层讲解，理论联系实际，帮助学生理解记忆。</w:t>
            </w:r>
          </w:p>
          <w:p w:rsidR="000525F6" w:rsidRPr="00A468FC" w:rsidRDefault="000525F6" w:rsidP="000525F6">
            <w:pPr>
              <w:adjustRightInd w:val="0"/>
              <w:snapToGrid w:val="0"/>
              <w:ind w:right="-50"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:rsidR="000525F6" w:rsidRDefault="000525F6" w:rsidP="000525F6">
            <w:pPr>
              <w:adjustRightInd w:val="0"/>
              <w:snapToGrid w:val="0"/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281979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 xml:space="preserve">难点; 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>对不同</w:t>
            </w:r>
            <w:r w:rsidR="00281979">
              <w:rPr>
                <w:rFonts w:ascii="仿宋_GB2312" w:eastAsia="仿宋_GB2312" w:hAnsi="宋体" w:hint="eastAsia"/>
                <w:bCs/>
                <w:szCs w:val="21"/>
              </w:rPr>
              <w:t>设计主题和设计内容的绘制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>需求分析，进行绘制工具的选择和效果确定</w:t>
            </w:r>
            <w:r w:rsidR="00281979">
              <w:rPr>
                <w:rFonts w:ascii="仿宋_GB2312" w:eastAsia="仿宋_GB2312" w:hAnsi="宋体" w:hint="eastAsia"/>
                <w:bCs/>
                <w:szCs w:val="21"/>
              </w:rPr>
              <w:t>，并掌握不同绘制工具的综合运用技法，来达到较为精美的设计展现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>。</w:t>
            </w:r>
          </w:p>
          <w:p w:rsidR="000525F6" w:rsidRPr="00A468FC" w:rsidRDefault="000525F6" w:rsidP="000525F6">
            <w:pPr>
              <w:adjustRightInd w:val="0"/>
              <w:snapToGrid w:val="0"/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281979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难点说明：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由于学生</w:t>
            </w:r>
            <w:r w:rsidR="005D73F4">
              <w:rPr>
                <w:rFonts w:ascii="仿宋_GB2312" w:eastAsia="仿宋_GB2312" w:hAnsi="宋体" w:cs="Times New Roman" w:hint="eastAsia"/>
                <w:bCs/>
                <w:szCs w:val="21"/>
              </w:rPr>
              <w:t>之前学习了铅笔素描的绘制效果，并具备一定的色彩表现能力，但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对</w:t>
            </w:r>
            <w:r w:rsidR="005D73F4">
              <w:rPr>
                <w:rFonts w:ascii="仿宋_GB2312" w:eastAsia="仿宋_GB2312" w:hAnsi="宋体" w:cs="Times New Roman" w:hint="eastAsia"/>
                <w:bCs/>
                <w:szCs w:val="21"/>
              </w:rPr>
              <w:t>不同上色工具的绘制特性和综合效果的运用不够充分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，</w:t>
            </w:r>
            <w:r w:rsidR="005D73F4">
              <w:rPr>
                <w:rFonts w:ascii="仿宋_GB2312" w:eastAsia="仿宋_GB2312" w:hAnsi="宋体" w:cs="Times New Roman" w:hint="eastAsia"/>
                <w:bCs/>
                <w:szCs w:val="21"/>
              </w:rPr>
              <w:t>对设计主题和设计场合需求的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对4种手绘上色工具的特性和效果需要进行大量的图片分析来进行记忆，效果需要自己反复练习，才可以有更为准备的确定。所以对于刚接触手绘的学生来说，实践经验不足的情况下，这属于难点。</w:t>
            </w:r>
          </w:p>
          <w:p w:rsidR="000525F6" w:rsidRDefault="000525F6" w:rsidP="000525F6">
            <w:pPr>
              <w:adjustRightInd w:val="0"/>
              <w:snapToGrid w:val="0"/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>解决方法：</w:t>
            </w:r>
            <w:r w:rsidRPr="00445C44">
              <w:rPr>
                <w:rFonts w:ascii="仿宋_GB2312" w:eastAsia="仿宋_GB2312" w:hAnsi="宋体" w:cs="Times New Roman" w:hint="eastAsia"/>
                <w:bCs/>
                <w:color w:val="4F81BD"/>
                <w:szCs w:val="21"/>
              </w:rPr>
              <w:t>类比说明法。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将四种手绘上色工具的效果和服装联系在一起，让专业和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lastRenderedPageBreak/>
              <w:t>实际练习在一起，帮助学生更好的理解。让专业的问题变得生活化，帮助学生理解和记忆。</w:t>
            </w:r>
          </w:p>
          <w:p w:rsidR="000525F6" w:rsidRPr="006C1AFE" w:rsidRDefault="000525F6" w:rsidP="000525F6">
            <w:pPr>
              <w:adjustRightInd w:val="0"/>
              <w:snapToGrid w:val="0"/>
              <w:ind w:right="-50"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 xml:space="preserve">          </w:t>
            </w:r>
            <w:r w:rsidRPr="00445C44">
              <w:rPr>
                <w:rFonts w:ascii="仿宋_GB2312" w:eastAsia="仿宋_GB2312" w:hAnsi="宋体" w:cs="Times New Roman" w:hint="eastAsia"/>
                <w:bCs/>
                <w:color w:val="4F81BD"/>
                <w:szCs w:val="21"/>
              </w:rPr>
              <w:t>课堂训练法。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百闻不如一见，通过手绘实物图的展示，让学生通过视觉更加直观的对手绘的内容和效果图有初步的了解，并且通过课堂布置一下当场可以完成的实验性绘画操作的题目，让学生先对手绘工具的选择和相应的效果，有自己的体验，加深理解，锻炼其自我分析的能力。</w:t>
            </w:r>
          </w:p>
          <w:p w:rsidR="00E27ED5" w:rsidRPr="000525F6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27ED5">
        <w:tc>
          <w:tcPr>
            <w:tcW w:w="3586" w:type="dxa"/>
            <w:tcBorders>
              <w:right w:val="single" w:sz="4" w:space="0" w:color="auto"/>
            </w:tcBorders>
            <w:shd w:val="clear" w:color="auto" w:fill="auto"/>
          </w:tcPr>
          <w:p w:rsidR="00E27ED5" w:rsidRDefault="0080541F">
            <w:pPr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教学过程</w:t>
            </w:r>
          </w:p>
        </w:tc>
        <w:tc>
          <w:tcPr>
            <w:tcW w:w="4069" w:type="dxa"/>
            <w:tcBorders>
              <w:left w:val="single" w:sz="4" w:space="0" w:color="auto"/>
            </w:tcBorders>
            <w:shd w:val="clear" w:color="auto" w:fill="auto"/>
          </w:tcPr>
          <w:p w:rsidR="00E27ED5" w:rsidRDefault="0080541F">
            <w:pPr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设计说明</w:t>
            </w:r>
          </w:p>
        </w:tc>
      </w:tr>
      <w:tr w:rsidR="00E27ED5">
        <w:tc>
          <w:tcPr>
            <w:tcW w:w="3586" w:type="dxa"/>
            <w:tcBorders>
              <w:right w:val="single" w:sz="4" w:space="0" w:color="auto"/>
            </w:tcBorders>
            <w:shd w:val="clear" w:color="auto" w:fill="auto"/>
          </w:tcPr>
          <w:p w:rsidR="005D73F4" w:rsidRDefault="005D73F4" w:rsidP="005D73F4">
            <w:pPr>
              <w:ind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一、知识回顾</w:t>
            </w:r>
          </w:p>
          <w:p w:rsidR="005D73F4" w:rsidRDefault="005D73F4" w:rsidP="005D73F4">
            <w:pPr>
              <w:ind w:left="42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回顾上节课知识点，复习手绘基础工具的种类和铅笔绘制、勾线笔绘制草图展示，启发学生进行思考，如何从草图转换成最终的色彩效果图。带着思考进入第二部分的任务导入。</w:t>
            </w:r>
          </w:p>
          <w:p w:rsidR="005D73F4" w:rsidRDefault="005D73F4" w:rsidP="005D73F4">
            <w:pPr>
              <w:ind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二、任务导入</w:t>
            </w:r>
          </w:p>
          <w:p w:rsidR="005D73F4" w:rsidRPr="00902993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 xml:space="preserve">    水粉画、水彩画、彩铅画、马克笔（水彩笔）画的图片展示，引导学生自我分析这四种绘画的特点，及这四种上色工具使用的特性，导入本节课的教学任务。</w:t>
            </w:r>
          </w:p>
          <w:p w:rsidR="005D73F4" w:rsidRPr="001008FD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三、新授环节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(一)、首饰手绘水粉画法及效果展示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1、水粉颜料介绍;特性、使用方法、效果特征（理论联系实际的分析方法，语言清晰，概括简练）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2、首饰水粉效果图的展示，（例举水粉效果图片，进行效果展示）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3、分析讲解其特点和手绘适用场合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lastRenderedPageBreak/>
              <w:t>（二）、首饰手绘水彩画法及效果展示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1、水彩颜料介绍;特性、使用方法、效果特征（理论联系实际的分析方法，语言清晰，概括简练）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2、首饰水彩效果图的展示，（例举水彩效果图片，进行效果展示）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3、分析讲解其特点和手绘适用场合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（三）、首饰手绘彩铅画法及效果展示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1、彩色铅笔介绍;特性、使用方法、效果特征（理论联系实际的分析方法，语言清晰，概括简练）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2、首饰彩铅效果图的展示，（例举彩铅效果图片，进行效果展示）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3、分析其特点和手绘适用场合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（四）、首饰手绘马克笔(水彩笔)画法及效果展示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1、马克笔介绍;特性、使用方法、效果特征（理论联系实际的分析方法，语言清晰，概括简练）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2、首饰马克笔效果图的展示，（例举马克笔效果图片，进行效果展示）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3、分析其特点和手绘适用场合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（五）、四种类型图片对比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通过大量图片对比，再次总结归纳四种不同类型上色工具的使用方法，将其区分开，能让学生深刻理解这四种上色工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lastRenderedPageBreak/>
              <w:t>具的不同效果，在适当的场合和相应效果需求的前提下进行正确的选择和使用。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四、课堂实验性绘制作业）</w:t>
            </w:r>
          </w:p>
          <w:p w:rsidR="005D73F4" w:rsidRDefault="005D73F4" w:rsidP="005D73F4">
            <w:pPr>
              <w:ind w:left="-50"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给学生2张铅笔和勾线笔草图，运用较为简单，更易掌握的彩铅和马克笔这两种上色工具，进行实验性上色，检验学生理论掌握情况，是否按照相应的作画顺序来进行，以及锻炼学生的实际动手能力，检验其是否能够抓住这两种上色工具的使用特性和上色效果特征。</w:t>
            </w:r>
          </w:p>
          <w:p w:rsidR="005D73F4" w:rsidRPr="000211D8" w:rsidRDefault="005D73F4" w:rsidP="005D73F4">
            <w:pPr>
              <w:ind w:right="-50"/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</w:pPr>
            <w:r w:rsidRPr="000211D8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>布置作业</w:t>
            </w:r>
          </w:p>
          <w:p w:rsidR="005D73F4" w:rsidRDefault="005D73F4" w:rsidP="005D73F4">
            <w:pPr>
              <w:ind w:right="-50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1、根据这四种不同上色工具的不同效果表现，进行与之相对应的手绘图稿资料的收集与分类,以电子版形式建立4个文件夹，进行保存，以备日后学习临摹使用。</w:t>
            </w:r>
          </w:p>
          <w:p w:rsidR="00E27ED5" w:rsidRPr="005D73F4" w:rsidRDefault="005D73F4" w:rsidP="005D73F4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2、布置上期作业，做到画不离手，学好一门画画的技术，可以通过临摹的手段来入门，让学生根据对所讲授的这四种上色手段和工具进行个人选择，调动学生的积极性，让他们有自主喜好和选择上色工具的权利，每天临摹一幅首饰设计手绘效果图，达到长期训练，巩固手绘基本功的能力训练目的。</w:t>
            </w:r>
          </w:p>
        </w:tc>
        <w:tc>
          <w:tcPr>
            <w:tcW w:w="4069" w:type="dxa"/>
            <w:tcBorders>
              <w:left w:val="single" w:sz="4" w:space="0" w:color="auto"/>
            </w:tcBorders>
            <w:shd w:val="clear" w:color="auto" w:fill="auto"/>
          </w:tcPr>
          <w:p w:rsidR="00E27ED5" w:rsidRDefault="0080541F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……</w:t>
            </w:r>
          </w:p>
          <w:p w:rsidR="005D73F4" w:rsidRDefault="005D73F4" w:rsidP="005D73F4">
            <w:pPr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0211D8">
              <w:rPr>
                <w:rFonts w:ascii="仿宋_GB2312" w:eastAsia="仿宋_GB2312" w:hAnsi="宋体" w:cs="Times New Roman" w:hint="eastAsia"/>
                <w:b/>
                <w:bCs/>
                <w:szCs w:val="21"/>
              </w:rPr>
              <w:t xml:space="preserve">教学方法： 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 xml:space="preserve">  讲授、演示、实践</w:t>
            </w:r>
          </w:p>
          <w:p w:rsidR="005D73F4" w:rsidRPr="00A468FC" w:rsidRDefault="005D73F4" w:rsidP="005D73F4">
            <w:pPr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1、讲授：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 xml:space="preserve"> 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通过从专业绘画作品中引出4种绘画上色工具，和首饰设计手绘相结合，从实际中来，导入专业知识，在结合专业的手绘绘图作品进行分析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>介绍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这四种上色工具的特点，及上色步骤，优缺点，及效果图特征和适用场合。</w:t>
            </w: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 xml:space="preserve"> </w:t>
            </w:r>
          </w:p>
          <w:p w:rsidR="005D73F4" w:rsidRPr="00A468FC" w:rsidRDefault="005D73F4" w:rsidP="005D73F4">
            <w:pPr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 xml:space="preserve">2. </w:t>
            </w: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演示：通过老师在黑板上的实际演示，让学生根据绘制的的顺序可以一步一步的感受整个作画步骤，以及最终绘制完成后的效果。</w:t>
            </w:r>
          </w:p>
          <w:p w:rsidR="005D73F4" w:rsidRDefault="005D73F4" w:rsidP="005D73F4">
            <w:pPr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3、实践：让学生当场完成简单的绘制作业，直接在课堂上快速检验学习成果，并通过这一形式，让学生当场感受不用上色工具的绘制特性和效果，亲自参与其中，体验和理解更为直观。</w:t>
            </w:r>
          </w:p>
          <w:p w:rsidR="005D73F4" w:rsidRDefault="005D73F4" w:rsidP="005D73F4">
            <w:pPr>
              <w:ind w:right="-50"/>
              <w:jc w:val="left"/>
              <w:rPr>
                <w:rFonts w:ascii="仿宋_GB2312" w:eastAsia="仿宋_GB2312" w:hAnsi="宋体" w:cs="Times New Roman" w:hint="eastAsia"/>
                <w:bCs/>
                <w:szCs w:val="21"/>
              </w:rPr>
            </w:pPr>
          </w:p>
          <w:p w:rsidR="005D73F4" w:rsidRDefault="005D73F4" w:rsidP="005D73F4">
            <w:pPr>
              <w:ind w:right="-50"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A468FC">
              <w:rPr>
                <w:rFonts w:ascii="仿宋_GB2312" w:eastAsia="仿宋_GB2312" w:hAnsi="宋体" w:cs="Times New Roman" w:hint="eastAsia"/>
                <w:bCs/>
                <w:szCs w:val="21"/>
              </w:rPr>
              <w:t xml:space="preserve">说明：讲解时结合 ppt </w:t>
            </w:r>
          </w:p>
          <w:p w:rsidR="00E27ED5" w:rsidRPr="005D73F4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E27ED5" w:rsidRDefault="00E27ED5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E27ED5" w:rsidRDefault="00E27ED5"/>
    <w:p w:rsidR="00E27ED5" w:rsidRDefault="00E27ED5"/>
    <w:p w:rsidR="00E27ED5" w:rsidRDefault="00E27ED5"/>
    <w:p w:rsidR="00E27ED5" w:rsidRDefault="00E27ED5"/>
    <w:p w:rsidR="00E27ED5" w:rsidRDefault="00E27ED5"/>
    <w:p w:rsidR="00E27ED5" w:rsidRDefault="00E27ED5"/>
    <w:p w:rsidR="00E27ED5" w:rsidRDefault="00E27ED5"/>
    <w:p w:rsidR="00E27ED5" w:rsidRDefault="00E27ED5"/>
    <w:sectPr w:rsidR="00E27ED5" w:rsidSect="00E27ED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41F" w:rsidRDefault="0080541F" w:rsidP="00E27ED5">
      <w:pPr>
        <w:spacing w:line="240" w:lineRule="auto"/>
      </w:pPr>
      <w:r>
        <w:separator/>
      </w:r>
    </w:p>
  </w:endnote>
  <w:endnote w:type="continuationSeparator" w:id="1">
    <w:p w:rsidR="0080541F" w:rsidRDefault="0080541F" w:rsidP="00E27ED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D5" w:rsidRDefault="00E27ED5">
    <w:pPr>
      <w:pStyle w:val="a3"/>
      <w:jc w:val="center"/>
    </w:pPr>
    <w:r>
      <w:fldChar w:fldCharType="begin"/>
    </w:r>
    <w:r w:rsidR="0080541F">
      <w:instrText>PAGE   \* MERGEFORMAT</w:instrText>
    </w:r>
    <w:r>
      <w:fldChar w:fldCharType="separate"/>
    </w:r>
    <w:r w:rsidR="00977BC9" w:rsidRPr="00977BC9">
      <w:rPr>
        <w:noProof/>
        <w:lang w:val="zh-CN"/>
      </w:rPr>
      <w:t>1</w:t>
    </w:r>
    <w:r>
      <w:fldChar w:fldCharType="end"/>
    </w:r>
  </w:p>
  <w:p w:rsidR="00E27ED5" w:rsidRDefault="00E27E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41F" w:rsidRDefault="0080541F" w:rsidP="00E27ED5">
      <w:pPr>
        <w:spacing w:line="240" w:lineRule="auto"/>
      </w:pPr>
      <w:r>
        <w:separator/>
      </w:r>
    </w:p>
  </w:footnote>
  <w:footnote w:type="continuationSeparator" w:id="1">
    <w:p w:rsidR="0080541F" w:rsidRDefault="0080541F" w:rsidP="00E27E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307BBA"/>
    <w:rsid w:val="000525F6"/>
    <w:rsid w:val="001D6595"/>
    <w:rsid w:val="00281979"/>
    <w:rsid w:val="002A075B"/>
    <w:rsid w:val="005D73F4"/>
    <w:rsid w:val="00713989"/>
    <w:rsid w:val="007942D0"/>
    <w:rsid w:val="0080541F"/>
    <w:rsid w:val="00977BC9"/>
    <w:rsid w:val="00DC1196"/>
    <w:rsid w:val="00E27ED5"/>
    <w:rsid w:val="00F61010"/>
    <w:rsid w:val="1F307BBA"/>
    <w:rsid w:val="4C0B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ED5"/>
    <w:pPr>
      <w:widowControl w:val="0"/>
      <w:spacing w:line="36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27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794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942D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chenjie7y7</dc:creator>
  <cp:lastModifiedBy>user</cp:lastModifiedBy>
  <cp:revision>5</cp:revision>
  <dcterms:created xsi:type="dcterms:W3CDTF">2017-03-30T06:12:00Z</dcterms:created>
  <dcterms:modified xsi:type="dcterms:W3CDTF">2017-03-30T13:44:00Z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